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Times New Roman" w:cs="Times New Roman" w:eastAsia="Times New Roman" w:hAnsi="Times New Roman"/>
          <w:b/>
          <w:bCs/>
          <w:sz w:val="32"/>
          <w:szCs w:val="32"/>
        </w:rPr>
        <w:t xml:space="preserve">A Comparative Analysis of Zero Trust Architecture Implementation Challenges in Cloud and IoT Environments</w:t>
      </w:r>
    </w:p>
    <w:p>
      <w:pPr>
        <w:spacing w:after="0" w:before="200"/>
        <w:jc w:val="center"/>
      </w:pPr>
      <w:r>
        <w:rPr>
          <w:rFonts w:ascii="Times New Roman" w:cs="Times New Roman" w:eastAsia="Times New Roman" w:hAnsi="Times New Roman"/>
          <w:sz w:val="22"/>
          <w:szCs w:val="22"/>
        </w:rPr>
        <w:t xml:space="preserve">Pawan K C, Mithun H</w:t>
      </w:r>
    </w:p>
    <w:p>
      <w:pPr>
        <w:spacing w:after="0"/>
        <w:jc w:val="center"/>
      </w:pPr>
      <w:r>
        <w:rPr>
          <w:rFonts w:ascii="Times New Roman" w:cs="Times New Roman" w:eastAsia="Times New Roman" w:hAnsi="Times New Roman"/>
          <w:i/>
          <w:iCs/>
          <w:sz w:val="20"/>
          <w:szCs w:val="20"/>
        </w:rPr>
        <w:t xml:space="preserve">Department of Master of Computer Applications</w:t>
      </w:r>
    </w:p>
    <w:p>
      <w:pPr>
        <w:spacing w:after="0"/>
        <w:jc w:val="center"/>
      </w:pPr>
      <w:r>
        <w:rPr>
          <w:rFonts w:ascii="Times New Roman" w:cs="Times New Roman" w:eastAsia="Times New Roman" w:hAnsi="Times New Roman"/>
          <w:i/>
          <w:iCs/>
          <w:sz w:val="20"/>
          <w:szCs w:val="20"/>
        </w:rPr>
        <w:t xml:space="preserve">Dr. Ambedkar Institute of Technology, Bengaluru, India</w:t>
      </w:r>
    </w:p>
    <w:p>
      <w:pPr>
        <w:spacing w:after="240"/>
        <w:jc w:val="center"/>
      </w:pPr>
      <w:r>
        <w:rPr>
          <w:rFonts w:ascii="Times New Roman" w:cs="Times New Roman" w:eastAsia="Times New Roman" w:hAnsi="Times New Roman"/>
          <w:i/>
          <w:iCs/>
          <w:sz w:val="20"/>
          <w:szCs w:val="20"/>
        </w:rPr>
        <w:t xml:space="preserve">[email placeholder], [email placeholder]</w:t>
      </w:r>
    </w:p>
    <w:p>
      <w:pPr>
        <w:spacing w:after="60"/>
        <w:ind w:firstLine="200"/>
      </w:pPr>
      <w:r>
        <w:rPr>
          <w:rFonts w:ascii="Times New Roman" w:cs="Times New Roman" w:eastAsia="Times New Roman" w:hAnsi="Times New Roman"/>
          <w:b/>
          <w:bCs/>
          <w:i/>
          <w:iCs/>
          <w:sz w:val="20"/>
          <w:szCs w:val="20"/>
        </w:rPr>
        <w:t xml:space="preserve">Abstract—</w:t>
      </w:r>
      <w:r>
        <w:rPr>
          <w:rFonts w:ascii="Times New Roman" w:cs="Times New Roman" w:eastAsia="Times New Roman" w:hAnsi="Times New Roman"/>
          <w:i/>
          <w:iCs/>
          <w:sz w:val="20"/>
          <w:szCs w:val="20"/>
        </w:rPr>
        <w:t xml:space="preserve">Zero Trust Architecture (ZTA) has emerged as a dominant cybersecurity paradigm, replacing perimeter-based defense with continuous, identity-centric verification. While ZTA has matured substantially in enterprise cloud environments, extending its principles to resource-constrained Internet of Things (IoT) networks remains an open engineering challenge. This paper presents a structured comparative evaluation of ZTA implementations across cloud and IoT domains, using four analytical criteria: authentication complexity, authorization scalability, continuous-monitoring overhead, and orchestration maturity. Drawing on a synthesis of ten IEEE and peer-reviewed sources (2022–2025), we show that cloud ZTA benefits from mature identity governance and high-throughput policy engines, whereas IoT deployments are constrained by limited compute, memory, and energy budgets. We further quantify representative cryptographic overheads on embedded hardware and outline lightweight architectural adaptations — edge-hosted policy decision points, compact token formats, and elliptic-curve cryptography — that narrow this gap. The analysis is intended to help practitioners select ZTA design patterns appropriate to their deployment's resource envelope.</w:t>
      </w:r>
    </w:p>
    <w:p>
      <w:pPr>
        <w:spacing w:after="200"/>
        <w:ind w:firstLine="200"/>
      </w:pPr>
      <w:r>
        <w:rPr>
          <w:rFonts w:ascii="Times New Roman" w:cs="Times New Roman" w:eastAsia="Times New Roman" w:hAnsi="Times New Roman"/>
          <w:b/>
          <w:bCs/>
          <w:i/>
          <w:iCs/>
          <w:sz w:val="20"/>
          <w:szCs w:val="20"/>
        </w:rPr>
        <w:t xml:space="preserve">Keywords—</w:t>
      </w:r>
      <w:r>
        <w:rPr>
          <w:rFonts w:ascii="Times New Roman" w:cs="Times New Roman" w:eastAsia="Times New Roman" w:hAnsi="Times New Roman"/>
          <w:i/>
          <w:iCs/>
          <w:sz w:val="20"/>
          <w:szCs w:val="20"/>
        </w:rPr>
        <w:t xml:space="preserve">Zero Trust Architecture; Cloud Security; Internet of Things; Access Control; Micro-segmentation; Identity and Access Management; IEEE 3219-2023.</w:t>
      </w:r>
    </w:p>
    <w:p>
      <w:pPr>
        <w:spacing w:after="120" w:before="240"/>
        <w:jc w:val="center"/>
      </w:pPr>
      <w:r>
        <w:rPr>
          <w:rFonts w:ascii="Times New Roman" w:cs="Times New Roman" w:eastAsia="Times New Roman" w:hAnsi="Times New Roman"/>
          <w:b/>
          <w:bCs/>
          <w:sz w:val="20"/>
          <w:szCs w:val="20"/>
        </w:rPr>
        <w:t xml:space="preserve">I. INTRODUCTION</w:t>
      </w:r>
    </w:p>
    <w:p>
      <w:pPr>
        <w:spacing w:after="120" w:line="240"/>
        <w:jc w:val="both"/>
      </w:pPr>
      <w:r>
        <w:rPr>
          <w:rFonts w:ascii="Times New Roman" w:cs="Times New Roman" w:eastAsia="Times New Roman" w:hAnsi="Times New Roman"/>
          <w:i w:val="false"/>
          <w:iCs w:val="false"/>
          <w:sz w:val="20"/>
          <w:szCs w:val="20"/>
        </w:rPr>
        <w:t xml:space="preserve">Traditional network security has long relied on perimeter-based models, in which devices inside a trusted network boundary are granted implicit trust while external traffic faces strict boundary controls. The growth of multi-cloud infrastructure, remote workforces, and edge computing has rendered static perimeters increasingly ineffective, since a single breach at the boundary allows an attacker to move laterally across the internal network with little resistance.</w:t>
      </w:r>
    </w:p>
    <w:p>
      <w:pPr>
        <w:spacing w:after="120" w:line="240"/>
        <w:ind w:firstLine="200"/>
        <w:jc w:val="both"/>
      </w:pPr>
      <w:r>
        <w:rPr>
          <w:rFonts w:ascii="Times New Roman" w:cs="Times New Roman" w:eastAsia="Times New Roman" w:hAnsi="Times New Roman"/>
          <w:i w:val="false"/>
          <w:iCs w:val="false"/>
          <w:sz w:val="20"/>
          <w:szCs w:val="20"/>
        </w:rPr>
        <w:t xml:space="preserve">Zero Trust Architecture (ZTA) addresses this weakness through a single governing principle: never trust, always verify. Under ZTA, no request is implicitly trusted regardless of network location; every access attempt is explicitly authenticated, authorized, and continuously re-evaluated using contextual signals such as user identity, device posture, and environmental telemetry.</w:t>
      </w:r>
    </w:p>
    <w:p>
      <w:pPr>
        <w:spacing w:after="120" w:line="240"/>
        <w:ind w:firstLine="200"/>
        <w:jc w:val="both"/>
      </w:pPr>
      <w:r>
        <w:rPr>
          <w:rFonts w:ascii="Times New Roman" w:cs="Times New Roman" w:eastAsia="Times New Roman" w:hAnsi="Times New Roman"/>
          <w:i w:val="false"/>
          <w:iCs w:val="false"/>
          <w:sz w:val="20"/>
          <w:szCs w:val="20"/>
        </w:rPr>
        <w:t xml:space="preserve">ZTA's maturity, however, is uneven across deployment contexts. Enterprise cloud environments have adopted software-defined perimeters and dynamic identity providers at scale, while the rapid proliferation of IoT devices in industrial, urban, and healthcare settings introduces severe resource asymmetry: IoT microcontrollers typically operate under strict processing, memory, and battery constraints that make direct application of enterprise-grade ZTA protocols impractical. This asymmetry motivates the present comparative study.</w:t>
      </w:r>
    </w:p>
    <w:p>
      <w:pPr>
        <w:spacing w:after="120" w:line="240"/>
        <w:ind w:firstLine="200"/>
        <w:jc w:val="both"/>
      </w:pPr>
      <w:r>
        <w:rPr>
          <w:rFonts w:ascii="Times New Roman" w:cs="Times New Roman" w:eastAsia="Times New Roman" w:hAnsi="Times New Roman"/>
          <w:i w:val="false"/>
          <w:iCs w:val="false"/>
          <w:sz w:val="20"/>
          <w:szCs w:val="20"/>
        </w:rPr>
        <w:t xml:space="preserve">The remainder of this paper is organized as follows. Section II reviews related literature. Section III introduces the comparative evaluation framework used in this study. Section IV analyzes structural and resource trade-offs between cloud and IoT ZTA. Section V presents illustrative overhead measurements for representative cryptographic schemes. Section VI discusses the resulting disparities and mitigation strategies, and Section VII concludes with directions for future work.</w:t>
      </w:r>
    </w:p>
    <w:p>
      <w:pPr>
        <w:spacing w:after="120" w:before="240"/>
        <w:jc w:val="center"/>
      </w:pPr>
      <w:r>
        <w:rPr>
          <w:rFonts w:ascii="Times New Roman" w:cs="Times New Roman" w:eastAsia="Times New Roman" w:hAnsi="Times New Roman"/>
          <w:b/>
          <w:bCs/>
          <w:sz w:val="20"/>
          <w:szCs w:val="20"/>
        </w:rPr>
        <w:t xml:space="preserve">II. RELATED WORK</w:t>
      </w:r>
    </w:p>
    <w:p>
      <w:pPr>
        <w:spacing w:after="120" w:line="240"/>
        <w:jc w:val="both"/>
      </w:pPr>
      <w:r>
        <w:rPr>
          <w:rFonts w:ascii="Times New Roman" w:cs="Times New Roman" w:eastAsia="Times New Roman" w:hAnsi="Times New Roman"/>
          <w:i w:val="false"/>
          <w:iCs w:val="false"/>
          <w:sz w:val="20"/>
          <w:szCs w:val="20"/>
        </w:rPr>
        <w:t xml:space="preserve">Research on ZTA has grown rapidly over the past several years and can be grouped into four broad themes: foundational surveys, cloud and hybrid migration frameworks, technical orchestration models, and IoT-specific standards. Syed et al. [4] and Ghasemshirazi et al. [10] established broad taxonomies of ZTA components and adoption patterns but did not address edge or IoT-specific constraints in depth. Phiayura and Teerakanok [3] proposed a structured framework for migrating legacy enterprise networks to ZTA, while Emmanni [5] demonstrated that micro-segmentation substantially reduces breach blast radius in hybrid-cloud deployments, though the study's scope was not generalizable beyond its case setting.</w:t>
      </w:r>
    </w:p>
    <w:p>
      <w:pPr>
        <w:spacing w:after="120" w:line="240"/>
        <w:ind w:firstLine="200"/>
        <w:jc w:val="both"/>
      </w:pPr>
      <w:r>
        <w:rPr>
          <w:rFonts w:ascii="Times New Roman" w:cs="Times New Roman" w:eastAsia="Times New Roman" w:hAnsi="Times New Roman"/>
          <w:i w:val="false"/>
          <w:iCs w:val="false"/>
          <w:sz w:val="20"/>
          <w:szCs w:val="20"/>
        </w:rPr>
        <w:t xml:space="preserve">On the technical-orchestration side, Cao et al. [7] identified policy orchestration and automation as a persistent bottleneck in cloud ZTA, and Hong et al. [8] proposed SysFlow, a fine-grained system-level tracking framework whose execution footprint is heavy for constrained nodes. Bobbert and Scheerder [9] provided empirical validation showing a gap between theoretical ZTA models and real-world enterprise adoption.</w:t>
      </w:r>
    </w:p>
    <w:p>
      <w:pPr>
        <w:spacing w:after="120" w:line="240"/>
        <w:ind w:firstLine="200"/>
        <w:jc w:val="both"/>
      </w:pPr>
      <w:r>
        <w:rPr>
          <w:rFonts w:ascii="Times New Roman" w:cs="Times New Roman" w:eastAsia="Times New Roman" w:hAnsi="Times New Roman"/>
          <w:i w:val="false"/>
          <w:iCs w:val="false"/>
          <w:sz w:val="20"/>
          <w:szCs w:val="20"/>
        </w:rPr>
        <w:t xml:space="preserve">On the IoT side, IEEE Standard 3219-2023 [6] defines a blockchain-based decentralized access-control framework for IoT but reports high execution overhead on microcontroller-class hardware. Most directly related to this work, Mushtaq et al. [2] conducted a systematic literature review spanning both domains and concluded that authentication and authorization mechanisms are comparatively mature, while continuous auditing and orchestration lag behind in IoT settings — a finding consistent with the comparative analysis presented here. Ahmadi [1] reviewed cloud ZTA specifically and noted that empirical latency data remains scarce across the literature.</w:t>
      </w:r>
    </w:p>
    <w:p>
      <w:pPr>
        <w:spacing w:after="120" w:line="240"/>
        <w:ind w:firstLine="200"/>
        <w:jc w:val="both"/>
      </w:pPr>
      <w:r>
        <w:rPr>
          <w:rFonts w:ascii="Times New Roman" w:cs="Times New Roman" w:eastAsia="Times New Roman" w:hAnsi="Times New Roman"/>
          <w:i w:val="false"/>
          <w:iCs w:val="false"/>
          <w:sz w:val="20"/>
          <w:szCs w:val="20"/>
        </w:rPr>
        <w:t xml:space="preserve">Collectively, this body of work establishes that cloud ZTA and IoT ZTA are each individually well studied, but structured, criterion-by-criterion comparisons across the two domains — of the kind attempted in Section III — remain limited, motivating the present analysis.</w:t>
      </w:r>
    </w:p>
    <w:p>
      <w:pPr>
        <w:spacing w:after="120" w:before="240"/>
        <w:jc w:val="center"/>
      </w:pPr>
      <w:r>
        <w:rPr>
          <w:rFonts w:ascii="Times New Roman" w:cs="Times New Roman" w:eastAsia="Times New Roman" w:hAnsi="Times New Roman"/>
          <w:b/>
          <w:bCs/>
          <w:sz w:val="20"/>
          <w:szCs w:val="20"/>
        </w:rPr>
        <w:t xml:space="preserve">III. COMPARATIVE EVALUATION FRAMEWORK</w:t>
      </w:r>
    </w:p>
    <w:p>
      <w:pPr>
        <w:spacing w:after="120" w:line="240"/>
        <w:jc w:val="both"/>
      </w:pPr>
      <w:r>
        <w:rPr>
          <w:rFonts w:ascii="Times New Roman" w:cs="Times New Roman" w:eastAsia="Times New Roman" w:hAnsi="Times New Roman"/>
          <w:i w:val="false"/>
          <w:iCs w:val="false"/>
          <w:sz w:val="20"/>
          <w:szCs w:val="20"/>
        </w:rPr>
        <w:t xml:space="preserve">To compare ZTA implementations across domains in a structured rather than anecdotal manner, this study defines four evaluation criteria, derived from recurring themes in the reviewed literature:</w:t>
      </w:r>
    </w:p>
    <w:p>
      <w:pPr>
        <w:spacing w:after="60" w:line="240"/>
        <w:ind w:left="260" w:hanging="160"/>
      </w:pPr>
      <w:r>
        <w:rPr>
          <w:rFonts w:ascii="Times New Roman" w:cs="Times New Roman" w:eastAsia="Times New Roman" w:hAnsi="Times New Roman"/>
          <w:sz w:val="20"/>
          <w:szCs w:val="20"/>
        </w:rPr>
        <w:t xml:space="preserve">•  Authentication complexity — the cryptographic and protocol overhead required to establish identity (e.g., full PKI/OAuth2 flows versus lightweight pre-shared or elliptic-curve schemes).</w:t>
      </w:r>
    </w:p>
    <w:p>
      <w:pPr>
        <w:spacing w:after="60" w:line="240"/>
        <w:ind w:left="260" w:hanging="160"/>
      </w:pPr>
      <w:r>
        <w:rPr>
          <w:rFonts w:ascii="Times New Roman" w:cs="Times New Roman" w:eastAsia="Times New Roman" w:hAnsi="Times New Roman"/>
          <w:sz w:val="20"/>
          <w:szCs w:val="20"/>
        </w:rPr>
        <w:t xml:space="preserve">•  Authorization scalability — the throughput and latency of the Policy Decision Point (PDP) under load, and whether evaluation is centralized or edge-distributed.</w:t>
      </w:r>
    </w:p>
    <w:p>
      <w:pPr>
        <w:spacing w:after="60" w:line="240"/>
        <w:ind w:left="260" w:hanging="160"/>
      </w:pPr>
      <w:r>
        <w:rPr>
          <w:rFonts w:ascii="Times New Roman" w:cs="Times New Roman" w:eastAsia="Times New Roman" w:hAnsi="Times New Roman"/>
          <w:sz w:val="20"/>
          <w:szCs w:val="20"/>
        </w:rPr>
        <w:t xml:space="preserve">•  Continuous-monitoring overhead — the bandwidth, energy, and compute cost of streaming telemetry into a policy engine or SIEM system.</w:t>
      </w:r>
    </w:p>
    <w:p>
      <w:pPr>
        <w:spacing w:after="60" w:line="240"/>
        <w:ind w:left="260" w:hanging="160"/>
      </w:pPr>
      <w:r>
        <w:rPr>
          <w:rFonts w:ascii="Times New Roman" w:cs="Times New Roman" w:eastAsia="Times New Roman" w:hAnsi="Times New Roman"/>
          <w:sz w:val="20"/>
          <w:szCs w:val="20"/>
        </w:rPr>
        <w:t xml:space="preserve">•  Orchestration maturity — the extent to which policy updates, conflict resolution, and cross-domain identity federation are automated versus manually managed.</w:t>
      </w:r>
    </w:p>
    <w:p>
      <w:pPr>
        <w:spacing w:after="120" w:line="240"/>
        <w:ind w:firstLine="200"/>
        <w:jc w:val="both"/>
      </w:pPr>
      <w:r>
        <w:rPr>
          <w:rFonts w:ascii="Times New Roman" w:cs="Times New Roman" w:eastAsia="Times New Roman" w:hAnsi="Times New Roman"/>
          <w:i w:val="false"/>
          <w:iCs w:val="false"/>
          <w:sz w:val="20"/>
          <w:szCs w:val="20"/>
        </w:rPr>
        <w:t xml:space="preserve">Each criterion is assessed qualitatively against three reference deployment models — legacy perimeter security, cloud-native ZTA, and IoT edge ZTA — summarized in Table I, and is further grounded quantitatively for the authentication criterion in Section V using representative embedded-hardware benchmarks.</w:t>
      </w:r>
    </w:p>
    <w:p>
      <w:pPr>
        <w:spacing w:after="40" w:before="120"/>
        <w:jc w:val="center"/>
      </w:pPr>
      <w:r>
        <w:rPr>
          <w:rFonts w:ascii="Times New Roman" w:cs="Times New Roman" w:eastAsia="Times New Roman" w:hAnsi="Times New Roman"/>
          <w:b/>
          <w:bCs/>
          <w:sz w:val="18"/>
          <w:szCs w:val="18"/>
        </w:rPr>
        <w:t xml:space="preserve">TABLE I</w:t>
      </w:r>
    </w:p>
    <w:p>
      <w:pPr>
        <w:spacing w:after="100"/>
        <w:jc w:val="center"/>
      </w:pPr>
      <w:r>
        <w:rPr>
          <w:rFonts w:ascii="Times New Roman" w:cs="Times New Roman" w:eastAsia="Times New Roman" w:hAnsi="Times New Roman"/>
          <w:b/>
          <w:bCs/>
          <w:sz w:val="16"/>
          <w:szCs w:val="16"/>
        </w:rPr>
        <w:t xml:space="preserve">COMPARATIVE OVERVIEW ACROSS SYSTEM CHARACTERISTICS</w:t>
      </w:r>
    </w:p>
    <w:tbl>
      <w:tblPr>
        <w:tblW w:type="dxa" w:w="7600"/>
        <w:tblBorders>
          <w:top w:val="single" w:color="auto" w:sz="4"/>
          <w:left w:val="single" w:color="auto" w:sz="4"/>
          <w:bottom w:val="single" w:color="auto" w:sz="4"/>
          <w:right w:val="single" w:color="auto" w:sz="4"/>
          <w:insideH w:val="single" w:color="auto" w:sz="4"/>
          <w:insideV w:val="single" w:color="auto" w:sz="4"/>
        </w:tblBorders>
      </w:tblPr>
      <w:tblGrid>
        <w:gridCol w:w="1600"/>
        <w:gridCol w:w="2000"/>
        <w:gridCol w:w="2000"/>
        <w:gridCol w:w="2000"/>
      </w:tblGrid>
      <w:tr>
        <w:trPr>
          <w:tblHeader/>
        </w:trPr>
        <w:tc>
          <w:tcPr>
            <w:tcW w:type="dxa" w:w="16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Criterion</w:t>
            </w:r>
          </w:p>
        </w:tc>
        <w:tc>
          <w:tcPr>
            <w:tcW w:type="dxa" w:w="20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Legacy Perimeter</w:t>
            </w:r>
          </w:p>
        </w:tc>
        <w:tc>
          <w:tcPr>
            <w:tcW w:type="dxa" w:w="20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Cloud ZTA</w:t>
            </w:r>
          </w:p>
        </w:tc>
        <w:tc>
          <w:tcPr>
            <w:tcW w:type="dxa" w:w="20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IoT Edge ZTA</w:t>
            </w:r>
          </w:p>
        </w:tc>
      </w:tr>
      <w:tr>
        <w:tc>
          <w:tcPr>
            <w:tcW w:type="dxa" w:w="16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Trust model</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Implicit (internal net.)</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Zero trust (continuous)</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Zero trust (continuous)</w:t>
            </w:r>
          </w:p>
        </w:tc>
      </w:tr>
      <w:tr>
        <w:tc>
          <w:tcPr>
            <w:tcW w:type="dxa" w:w="16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Auth. complexity</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Single entry point</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High (MFA, OAuth2, PKI)</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Lightweight (ECC, PSK)</w:t>
            </w:r>
          </w:p>
        </w:tc>
      </w:tr>
      <w:tr>
        <w:tc>
          <w:tcPr>
            <w:tcW w:type="dxa" w:w="16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Latency overhead</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Low (post-login)</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Low–moderate</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Moderate–high (HW bound)</w:t>
            </w:r>
          </w:p>
        </w:tc>
      </w:tr>
      <w:tr>
        <w:tc>
          <w:tcPr>
            <w:tcW w:type="dxa" w:w="16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Resource usage</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Minimal on nodes</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High (compute supported)</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Severely constrained</w:t>
            </w:r>
          </w:p>
        </w:tc>
      </w:tr>
      <w:tr>
        <w:tc>
          <w:tcPr>
            <w:tcW w:type="dxa" w:w="16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Tech. maturity</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Legacy / phasing out</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High / commercialized</w:t>
            </w:r>
          </w:p>
        </w:tc>
        <w:tc>
          <w:tcPr>
            <w:tcW w:type="dxa" w:w="20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Early-stage / standardizing</w:t>
            </w:r>
          </w:p>
        </w:tc>
      </w:tr>
    </w:tbl>
    <w:p>
      <w:pPr>
        <w:spacing w:after="120" w:before="240"/>
        <w:jc w:val="center"/>
      </w:pPr>
      <w:r>
        <w:rPr>
          <w:rFonts w:ascii="Times New Roman" w:cs="Times New Roman" w:eastAsia="Times New Roman" w:hAnsi="Times New Roman"/>
          <w:b/>
          <w:bCs/>
          <w:sz w:val="20"/>
          <w:szCs w:val="20"/>
        </w:rPr>
        <w:t xml:space="preserve">IV. STRUCTURAL AND RESOURCE TRADE-OFFS</w:t>
      </w:r>
    </w:p>
    <w:p>
      <w:pPr>
        <w:spacing w:after="120" w:line="240"/>
        <w:jc w:val="both"/>
      </w:pPr>
      <w:r>
        <w:rPr>
          <w:rFonts w:ascii="Times New Roman" w:cs="Times New Roman" w:eastAsia="Times New Roman" w:hAnsi="Times New Roman"/>
          <w:i w:val="false"/>
          <w:iCs w:val="false"/>
          <w:sz w:val="20"/>
          <w:szCs w:val="20"/>
        </w:rPr>
        <w:t xml:space="preserve">ZTA rests on three combined architectural concepts: continuous verification, micro-segmentation, and dynamic policy-based access control, coordinated through a Policy Decision Point (PDP), which evaluates access requests using Attribute-Based Access Control (ABAC), and a Policy Enforcement Point (PEP), which grants or severs connections based on the PDP's decision. How these components are realized, however, differs sharply between cloud and IoT contexts, as summarized in Table II.</w:t>
      </w:r>
    </w:p>
    <w:p>
      <w:pPr>
        <w:spacing w:after="40" w:before="120"/>
        <w:jc w:val="center"/>
      </w:pPr>
      <w:r>
        <w:rPr>
          <w:rFonts w:ascii="Times New Roman" w:cs="Times New Roman" w:eastAsia="Times New Roman" w:hAnsi="Times New Roman"/>
          <w:b/>
          <w:bCs/>
          <w:sz w:val="18"/>
          <w:szCs w:val="18"/>
        </w:rPr>
        <w:t xml:space="preserve">TABLE II</w:t>
      </w:r>
    </w:p>
    <w:p>
      <w:pPr>
        <w:spacing w:after="100"/>
        <w:jc w:val="center"/>
      </w:pPr>
      <w:r>
        <w:rPr>
          <w:rFonts w:ascii="Times New Roman" w:cs="Times New Roman" w:eastAsia="Times New Roman" w:hAnsi="Times New Roman"/>
          <w:b/>
          <w:bCs/>
          <w:sz w:val="16"/>
          <w:szCs w:val="16"/>
        </w:rPr>
        <w:t xml:space="preserve">STRUCTURAL TRADE-OFFS: CLOUD vs. IoT ZTA</w:t>
      </w:r>
    </w:p>
    <w:tbl>
      <w:tblPr>
        <w:tblW w:type="dxa" w:w="7400"/>
        <w:tblBorders>
          <w:top w:val="single" w:color="auto" w:sz="4"/>
          <w:left w:val="single" w:color="auto" w:sz="4"/>
          <w:bottom w:val="single" w:color="auto" w:sz="4"/>
          <w:right w:val="single" w:color="auto" w:sz="4"/>
          <w:insideH w:val="single" w:color="auto" w:sz="4"/>
          <w:insideV w:val="single" w:color="auto" w:sz="4"/>
        </w:tblBorders>
      </w:tblPr>
      <w:tblGrid>
        <w:gridCol w:w="1800"/>
        <w:gridCol w:w="2800"/>
        <w:gridCol w:w="2800"/>
      </w:tblGrid>
      <w:tr>
        <w:trPr>
          <w:tblHeader/>
        </w:trPr>
        <w:tc>
          <w:tcPr>
            <w:tcW w:type="dxa" w:w="18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Component</w:t>
            </w:r>
          </w:p>
        </w:tc>
        <w:tc>
          <w:tcPr>
            <w:tcW w:type="dxa" w:w="28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Cloud Implementation</w:t>
            </w:r>
          </w:p>
        </w:tc>
        <w:tc>
          <w:tcPr>
            <w:tcW w:type="dxa" w:w="28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IoT Implementation</w:t>
            </w:r>
          </w:p>
        </w:tc>
      </w:tr>
      <w:tr>
        <w:tc>
          <w:tcPr>
            <w:tcW w:type="dxa" w:w="1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Compute / memory</w:t>
            </w:r>
          </w:p>
        </w:tc>
        <w:tc>
          <w:tcPr>
            <w:tcW w:type="dxa" w:w="2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High compute and memory availability</w:t>
            </w:r>
          </w:p>
        </w:tc>
        <w:tc>
          <w:tcPr>
            <w:tcW w:type="dxa" w:w="2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Limited CPU/RAM (8/16-bit MCUs)</w:t>
            </w:r>
          </w:p>
        </w:tc>
      </w:tr>
      <w:tr>
        <w:tc>
          <w:tcPr>
            <w:tcW w:type="dxa" w:w="1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Cryptography</w:t>
            </w:r>
          </w:p>
        </w:tc>
        <w:tc>
          <w:tcPr>
            <w:tcW w:type="dxa" w:w="2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Heavy (RSA, TLS 1.3)</w:t>
            </w:r>
          </w:p>
        </w:tc>
        <w:tc>
          <w:tcPr>
            <w:tcW w:type="dxa" w:w="2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Lightweight (ECC, ChaCha20)</w:t>
            </w:r>
          </w:p>
        </w:tc>
      </w:tr>
      <w:tr>
        <w:tc>
          <w:tcPr>
            <w:tcW w:type="dxa" w:w="1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Token format</w:t>
            </w:r>
          </w:p>
        </w:tc>
        <w:tc>
          <w:tcPr>
            <w:tcW w:type="dxa" w:w="2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JWT / OAuth2</w:t>
            </w:r>
          </w:p>
        </w:tc>
        <w:tc>
          <w:tcPr>
            <w:tcW w:type="dxa" w:w="2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Compact binary (CBOR / COSE)</w:t>
            </w:r>
          </w:p>
        </w:tc>
      </w:tr>
      <w:tr>
        <w:tc>
          <w:tcPr>
            <w:tcW w:type="dxa" w:w="1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PDP placement</w:t>
            </w:r>
          </w:p>
        </w:tc>
        <w:tc>
          <w:tcPr>
            <w:tcW w:type="dxa" w:w="2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Centralized policy engines</w:t>
            </w:r>
          </w:p>
        </w:tc>
        <w:tc>
          <w:tcPr>
            <w:tcW w:type="dxa" w:w="2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Distributed / edge-proxy PDPs</w:t>
            </w:r>
          </w:p>
        </w:tc>
      </w:tr>
      <w:tr>
        <w:tc>
          <w:tcPr>
            <w:tcW w:type="dxa" w:w="1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Telemetry</w:t>
            </w:r>
          </w:p>
        </w:tc>
        <w:tc>
          <w:tcPr>
            <w:tcW w:type="dxa" w:w="2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Rich, real-time signals</w:t>
            </w:r>
          </w:p>
        </w:tc>
        <w:tc>
          <w:tcPr>
            <w:tcW w:type="dxa" w:w="2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Intermittent, minimal signals</w:t>
            </w:r>
          </w:p>
        </w:tc>
      </w:tr>
    </w:tbl>
    <w:p>
      <w:pPr>
        <w:spacing w:after="120" w:line="240"/>
        <w:ind w:firstLine="200"/>
        <w:jc w:val="both"/>
      </w:pPr>
      <w:r>
        <w:rPr>
          <w:rFonts w:ascii="Times New Roman" w:cs="Times New Roman" w:eastAsia="Times New Roman" w:hAnsi="Times New Roman"/>
          <w:i w:val="false"/>
          <w:iCs w:val="false"/>
          <w:sz w:val="20"/>
          <w:szCs w:val="20"/>
        </w:rPr>
        <w:t xml:space="preserve">Authentication protocols illustrate this divergence directly: cloud deployments typically rely on standard public-key infrastructure, TLS 1.3, and OAuth2/OIDC flows, whereas IoT nodes favor elliptic-curve cryptography or pre-shared keys paired with compact serialization formats to minimize bandwidth and CPU cycles. Authorization scalability follows a similar pattern — centralized cloud PDPs offer high throughput, but routing every low-power sensor query to a remote cloud PDP introduces latency that is often unacceptable, making localized edge-proxy PDPs necessary in practice. Continuous telemetry shows the same asymmetry: streaming rich health and behavioral signals into a SIEM pipeline has negligible marginal cost in the cloud, but rapidly drains power and bandwidth on battery-operated IoT endpoints.</w:t>
      </w:r>
    </w:p>
    <w:p>
      <w:pPr>
        <w:spacing w:after="120" w:line="240"/>
        <w:ind w:firstLine="200"/>
        <w:jc w:val="both"/>
      </w:pPr>
      <w:r>
        <w:rPr>
          <w:rFonts w:ascii="Times New Roman" w:cs="Times New Roman" w:eastAsia="Times New Roman" w:hAnsi="Times New Roman"/>
          <w:i w:val="false"/>
          <w:iCs w:val="false"/>
          <w:sz w:val="20"/>
          <w:szCs w:val="20"/>
        </w:rPr>
        <w:t xml:space="preserve">These constraints are compounded by deployment topology. In centralized cloud data centers, network distance to the PDP is small and largely irrelevant to design; in distributed edge settings such as smart factories or healthcare monitoring networks, PDP instances must often be hosted locally so that access decisions can continue to be enforced during WAN outages, and micro-segmentation must be layered onto existing physical and virtual network topology via SDN overlay controllers rather than a green-field design.</w:t>
      </w:r>
    </w:p>
    <w:p>
      <w:pPr>
        <w:spacing w:after="120" w:before="240"/>
        <w:jc w:val="center"/>
      </w:pPr>
      <w:r>
        <w:rPr>
          <w:rFonts w:ascii="Times New Roman" w:cs="Times New Roman" w:eastAsia="Times New Roman" w:hAnsi="Times New Roman"/>
          <w:b/>
          <w:bCs/>
          <w:sz w:val="20"/>
          <w:szCs w:val="20"/>
        </w:rPr>
        <w:t xml:space="preserve">V. ILLUSTRATIVE OVERHEAD ANALYSIS</w:t>
      </w:r>
    </w:p>
    <w:p>
      <w:pPr>
        <w:spacing w:after="120" w:line="240"/>
        <w:jc w:val="both"/>
      </w:pPr>
      <w:r>
        <w:rPr>
          <w:rFonts w:ascii="Times New Roman" w:cs="Times New Roman" w:eastAsia="Times New Roman" w:hAnsi="Times New Roman"/>
          <w:i w:val="false"/>
          <w:iCs w:val="false"/>
          <w:sz w:val="20"/>
          <w:szCs w:val="20"/>
        </w:rPr>
        <w:t xml:space="preserve">To make the authentication-complexity criterion concrete, we estimate signature-verification latency for three representative cryptographic schemes on a typical 16 MHz embedded microcontroller. Execution time T for a cryptographic operation can be approximated as</w:t>
      </w:r>
    </w:p>
    <w:p>
      <w:pPr>
        <w:spacing w:after="80" w:before="80"/>
        <w:jc w:val="center"/>
      </w:pPr>
      <w:r>
        <w:rPr>
          <w:rFonts w:ascii="Times New Roman" w:cs="Times New Roman" w:eastAsia="Times New Roman" w:hAnsi="Times New Roman"/>
          <w:i/>
          <w:iCs/>
          <w:sz w:val="20"/>
          <w:szCs w:val="20"/>
        </w:rPr>
        <w:t xml:space="preserve">T = C / f</w:t>
      </w:r>
    </w:p>
    <w:p>
      <w:pPr>
        <w:spacing w:after="120" w:line="240"/>
        <w:ind w:firstLine="200"/>
        <w:jc w:val="both"/>
      </w:pPr>
      <w:r>
        <w:rPr>
          <w:rFonts w:ascii="Times New Roman" w:cs="Times New Roman" w:eastAsia="Times New Roman" w:hAnsi="Times New Roman"/>
          <w:i w:val="false"/>
          <w:iCs w:val="false"/>
          <w:sz w:val="20"/>
          <w:szCs w:val="20"/>
        </w:rPr>
        <w:t xml:space="preserve">where C is the total clock-cycle count required for the operation and f is the processor clock frequency. Table III summarizes representative cycle counts drawn from published benchmarks for three widely used schemes.</w:t>
      </w:r>
    </w:p>
    <w:p>
      <w:pPr>
        <w:spacing w:after="40" w:before="120"/>
        <w:jc w:val="center"/>
      </w:pPr>
      <w:r>
        <w:rPr>
          <w:rFonts w:ascii="Times New Roman" w:cs="Times New Roman" w:eastAsia="Times New Roman" w:hAnsi="Times New Roman"/>
          <w:b/>
          <w:bCs/>
          <w:sz w:val="18"/>
          <w:szCs w:val="18"/>
        </w:rPr>
        <w:t xml:space="preserve">TABLE III</w:t>
      </w:r>
    </w:p>
    <w:p>
      <w:pPr>
        <w:spacing w:after="100"/>
        <w:jc w:val="center"/>
      </w:pPr>
      <w:r>
        <w:rPr>
          <w:rFonts w:ascii="Times New Roman" w:cs="Times New Roman" w:eastAsia="Times New Roman" w:hAnsi="Times New Roman"/>
          <w:b/>
          <w:bCs/>
          <w:sz w:val="16"/>
          <w:szCs w:val="16"/>
        </w:rPr>
        <w:t xml:space="preserve">ILLUSTRATIVE BENCHMARK COMPARISON @ 16 MHz</w:t>
      </w:r>
    </w:p>
    <w:tbl>
      <w:tblPr>
        <w:tblW w:type="dxa" w:w="7400"/>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1600"/>
        <w:gridCol w:w="1800"/>
      </w:tblGrid>
      <w:tr>
        <w:trPr>
          <w:tblHeader/>
        </w:trPr>
        <w:tc>
          <w:tcPr>
            <w:tcW w:type="dxa" w:w="22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Scheme</w:t>
            </w:r>
          </w:p>
        </w:tc>
        <w:tc>
          <w:tcPr>
            <w:tcW w:type="dxa" w:w="18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Cycles (C)</w:t>
            </w:r>
          </w:p>
        </w:tc>
        <w:tc>
          <w:tcPr>
            <w:tcW w:type="dxa" w:w="16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Delay (T)</w:t>
            </w:r>
          </w:p>
        </w:tc>
        <w:tc>
          <w:tcPr>
            <w:tcW w:type="dxa" w:w="18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Rel. Energy</w:t>
            </w:r>
          </w:p>
        </w:tc>
      </w:tr>
      <w:tr>
        <w:tc>
          <w:tcPr>
            <w:tcW w:type="dxa" w:w="22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RSA-2048 verify</w:t>
            </w:r>
          </w:p>
        </w:tc>
        <w:tc>
          <w:tcPr>
            <w:tcW w:type="dxa" w:w="1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~16,000,000</w:t>
            </w:r>
          </w:p>
        </w:tc>
        <w:tc>
          <w:tcPr>
            <w:tcW w:type="dxa" w:w="16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~1.000 s</w:t>
            </w:r>
          </w:p>
        </w:tc>
        <w:tc>
          <w:tcPr>
            <w:tcW w:type="dxa" w:w="1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Very high</w:t>
            </w:r>
          </w:p>
        </w:tc>
      </w:tr>
      <w:tr>
        <w:tc>
          <w:tcPr>
            <w:tcW w:type="dxa" w:w="22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ECDSA (Ed25519)</w:t>
            </w:r>
          </w:p>
        </w:tc>
        <w:tc>
          <w:tcPr>
            <w:tcW w:type="dxa" w:w="1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~1,200,000</w:t>
            </w:r>
          </w:p>
        </w:tc>
        <w:tc>
          <w:tcPr>
            <w:tcW w:type="dxa" w:w="16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~0.075 s</w:t>
            </w:r>
          </w:p>
        </w:tc>
        <w:tc>
          <w:tcPr>
            <w:tcW w:type="dxa" w:w="1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Moderate-low</w:t>
            </w:r>
          </w:p>
        </w:tc>
      </w:tr>
      <w:tr>
        <w:tc>
          <w:tcPr>
            <w:tcW w:type="dxa" w:w="22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ChaCha20-Poly1305</w:t>
            </w:r>
          </w:p>
        </w:tc>
        <w:tc>
          <w:tcPr>
            <w:tcW w:type="dxa" w:w="1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~150,000</w:t>
            </w:r>
          </w:p>
        </w:tc>
        <w:tc>
          <w:tcPr>
            <w:tcW w:type="dxa" w:w="16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~0.009 s</w:t>
            </w:r>
          </w:p>
        </w:tc>
        <w:tc>
          <w:tcPr>
            <w:tcW w:type="dxa" w:w="18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Minimal</w:t>
            </w:r>
          </w:p>
        </w:tc>
      </w:tr>
    </w:tbl>
    <w:p>
      <w:pPr>
        <w:spacing w:after="120" w:line="240"/>
        <w:jc w:val="both"/>
      </w:pPr>
      <w:r>
        <w:rPr>
          <w:rFonts w:ascii="Times New Roman" w:cs="Times New Roman" w:eastAsia="Times New Roman" w:hAnsi="Times New Roman"/>
          <w:i w:val="false"/>
          <w:iCs w:val="false"/>
          <w:sz w:val="20"/>
          <w:szCs w:val="20"/>
        </w:rPr>
        <w:t xml:space="preserve">The roughly two-order-of-magnitude gap between RSA-2048 verification and ChaCha20-Poly1305 illustrates why cloud-grade cryptographic stacks cannot be transplanted directly onto microcontroller-class IoT hardware, and why elliptic-curve and lightweight symmetric schemes dominate IoT-oriented ZTA proposals in the literature reviewed in Section II.</w:t>
      </w:r>
    </w:p>
    <w:p>
      <w:pPr>
        <w:spacing w:after="120" w:before="240"/>
        <w:jc w:val="center"/>
      </w:pPr>
      <w:r>
        <w:rPr>
          <w:rFonts w:ascii="Times New Roman" w:cs="Times New Roman" w:eastAsia="Times New Roman" w:hAnsi="Times New Roman"/>
          <w:b/>
          <w:bCs/>
          <w:sz w:val="20"/>
          <w:szCs w:val="20"/>
        </w:rPr>
        <w:t xml:space="preserve">VI. DISCUSSION</w:t>
      </w:r>
    </w:p>
    <w:p>
      <w:pPr>
        <w:spacing w:after="120" w:line="240"/>
        <w:jc w:val="both"/>
      </w:pPr>
      <w:r>
        <w:rPr>
          <w:rFonts w:ascii="Times New Roman" w:cs="Times New Roman" w:eastAsia="Times New Roman" w:hAnsi="Times New Roman"/>
          <w:i w:val="false"/>
          <w:iCs w:val="false"/>
          <w:sz w:val="20"/>
          <w:szCs w:val="20"/>
        </w:rPr>
        <w:t xml:space="preserve">The comparative evaluation in Sections III–V points to a consistent disparity: cloud ZTA implementations benefit from mature identity governance, high-throughput policy engines, and abundant compute, while IoT ZTA implementations remain constrained primarily by hardware, not by conceptual maturity of the zero-trust model itself. Three mitigation directions recur across the literature and follow directly from this analysis.</w:t>
      </w:r>
    </w:p>
    <w:p>
      <w:pPr>
        <w:spacing w:after="60" w:line="240"/>
        <w:ind w:left="260" w:hanging="160"/>
      </w:pPr>
      <w:r>
        <w:rPr>
          <w:rFonts w:ascii="Times New Roman" w:cs="Times New Roman" w:eastAsia="Times New Roman" w:hAnsi="Times New Roman"/>
          <w:sz w:val="20"/>
          <w:szCs w:val="20"/>
        </w:rPr>
        <w:t xml:space="preserve">•  Lightweight cryptography — replacing RSA with elliptic-curve schemes (e.g., Ed25519) or ChaCha20-Poly1305 to reduce verification latency by roughly an order of magnitude, as quantified in Section V.</w:t>
      </w:r>
    </w:p>
    <w:p>
      <w:pPr>
        <w:spacing w:after="60" w:line="240"/>
        <w:ind w:left="260" w:hanging="160"/>
      </w:pPr>
      <w:r>
        <w:rPr>
          <w:rFonts w:ascii="Times New Roman" w:cs="Times New Roman" w:eastAsia="Times New Roman" w:hAnsi="Times New Roman"/>
          <w:sz w:val="20"/>
          <w:szCs w:val="20"/>
        </w:rPr>
        <w:t xml:space="preserve">•  Compact capability tokens — using delegated, pre-compressed authorization tokens to reduce per-request verification traffic instead of full JWT/OAuth2 exchanges.</w:t>
      </w:r>
    </w:p>
    <w:p>
      <w:pPr>
        <w:spacing w:after="60" w:line="240"/>
        <w:ind w:left="260" w:hanging="160"/>
      </w:pPr>
      <w:r>
        <w:rPr>
          <w:rFonts w:ascii="Times New Roman" w:cs="Times New Roman" w:eastAsia="Times New Roman" w:hAnsi="Times New Roman"/>
          <w:sz w:val="20"/>
          <w:szCs w:val="20"/>
        </w:rPr>
        <w:t xml:space="preserve">•  Edge-hosted policy decision points — offloading PDP evaluation to a local gateway so that access decisions do not depend on round-trip latency to a centralized cloud engine, particularly during WAN disruptions.</w:t>
      </w:r>
    </w:p>
    <w:p>
      <w:pPr>
        <w:spacing w:after="120" w:line="240"/>
        <w:ind w:firstLine="200"/>
        <w:jc w:val="both"/>
      </w:pPr>
      <w:r>
        <w:rPr>
          <w:rFonts w:ascii="Times New Roman" w:cs="Times New Roman" w:eastAsia="Times New Roman" w:hAnsi="Times New Roman"/>
          <w:i w:val="false"/>
          <w:iCs w:val="false"/>
          <w:sz w:val="20"/>
          <w:szCs w:val="20"/>
        </w:rPr>
        <w:t xml:space="preserve">A further operational consideration, largely absent from the reviewed literature, is emergency access: strict zero-trust enforcement can inadvertently block legitimate remediation during infrastructure failures. Hardened, pre-audited “break-glass” credentials — permitting supervised emergency override — are therefore a necessary complement to any ZTA deployment, cloud or IoT. Cost is likewise domain-dependent: enterprise ZTA migration carries significant upfront capital cost for identity tooling and SDN controllers, offset over time by reduced breach severity, whereas IoT ZTA cost is dominated by per-device hardware limitations rather than centralized infrastructure spend.</w:t>
      </w:r>
    </w:p>
    <w:p>
      <w:pPr>
        <w:spacing w:after="120" w:line="240"/>
        <w:jc w:val="both"/>
      </w:pPr>
      <w:r>
        <w:rPr>
          <w:rFonts w:ascii="Times New Roman" w:cs="Times New Roman" w:eastAsia="Times New Roman" w:hAnsi="Times New Roman"/>
          <w:i w:val="false"/>
          <w:iCs w:val="false"/>
          <w:sz w:val="20"/>
          <w:szCs w:val="20"/>
        </w:rPr>
        <w:t xml:space="preserve">Beyond the four evaluation criteria, it is useful to summarize ZTA's overall advantages and limitations as they apply across both domains, since these bear directly on adoption decisions independent of deployment context.</w:t>
      </w:r>
    </w:p>
    <w:p>
      <w:pPr>
        <w:spacing w:after="40" w:before="120"/>
        <w:jc w:val="center"/>
      </w:pPr>
      <w:r>
        <w:rPr>
          <w:rFonts w:ascii="Times New Roman" w:cs="Times New Roman" w:eastAsia="Times New Roman" w:hAnsi="Times New Roman"/>
          <w:b/>
          <w:bCs/>
          <w:sz w:val="18"/>
          <w:szCs w:val="18"/>
        </w:rPr>
        <w:t xml:space="preserve">TABLE IV</w:t>
      </w:r>
    </w:p>
    <w:p>
      <w:pPr>
        <w:spacing w:after="100"/>
        <w:jc w:val="center"/>
      </w:pPr>
      <w:r>
        <w:rPr>
          <w:rFonts w:ascii="Times New Roman" w:cs="Times New Roman" w:eastAsia="Times New Roman" w:hAnsi="Times New Roman"/>
          <w:b/>
          <w:bCs/>
          <w:sz w:val="16"/>
          <w:szCs w:val="16"/>
        </w:rPr>
        <w:t xml:space="preserve">OVERALL ADVANTAGES AND LIMITATIONS OF ZTA ADOPTION</w:t>
      </w:r>
    </w:p>
    <w:tbl>
      <w:tblPr>
        <w:tblW w:type="dxa" w:w="6800"/>
        <w:tblBorders>
          <w:top w:val="single" w:color="auto" w:sz="4"/>
          <w:left w:val="single" w:color="auto" w:sz="4"/>
          <w:bottom w:val="single" w:color="auto" w:sz="4"/>
          <w:right w:val="single" w:color="auto" w:sz="4"/>
          <w:insideH w:val="single" w:color="auto" w:sz="4"/>
          <w:insideV w:val="single" w:color="auto" w:sz="4"/>
        </w:tblBorders>
      </w:tblPr>
      <w:tblGrid>
        <w:gridCol w:w="3400"/>
        <w:gridCol w:w="3400"/>
      </w:tblGrid>
      <w:tr>
        <w:trPr>
          <w:tblHeader/>
        </w:trPr>
        <w:tc>
          <w:tcPr>
            <w:tcW w:type="dxa" w:w="34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Advantages</w:t>
            </w:r>
          </w:p>
        </w:tc>
        <w:tc>
          <w:tcPr>
            <w:tcW w:type="dxa" w:w="3400"/>
            <w:shd w:fill="D9D9D9" w:val="clear"/>
            <w:tcMar>
              <w:top w:type="dxa" w:w="60"/>
              <w:left w:type="dxa" w:w="80"/>
              <w:bottom w:type="dxa" w:w="60"/>
              <w:right w:type="dxa" w:w="80"/>
            </w:tcMar>
          </w:tcPr>
          <w:p>
            <w:pPr>
              <w:jc w:val="center"/>
            </w:pPr>
            <w:r>
              <w:rPr>
                <w:rFonts w:ascii="Times New Roman" w:cs="Times New Roman" w:eastAsia="Times New Roman" w:hAnsi="Times New Roman"/>
                <w:b/>
                <w:bCs/>
                <w:sz w:val="16"/>
                <w:szCs w:val="16"/>
              </w:rPr>
              <w:t xml:space="preserve">Limitations</w:t>
            </w:r>
          </w:p>
        </w:tc>
      </w:tr>
      <w:tr>
        <w:tc>
          <w:tcPr>
            <w:tcW w:type="dxa" w:w="34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Eliminates implicit network trust</w:t>
            </w:r>
          </w:p>
        </w:tc>
        <w:tc>
          <w:tcPr>
            <w:tcW w:type="dxa" w:w="34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High complexity migrating legacy systems</w:t>
            </w:r>
          </w:p>
        </w:tc>
      </w:tr>
      <w:tr>
        <w:tc>
          <w:tcPr>
            <w:tcW w:type="dxa" w:w="34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Limits lateral attacker movement</w:t>
            </w:r>
          </w:p>
        </w:tc>
        <w:tc>
          <w:tcPr>
            <w:tcW w:type="dxa" w:w="34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Latency overhead on low-power hardware</w:t>
            </w:r>
          </w:p>
        </w:tc>
      </w:tr>
      <w:tr>
        <w:tc>
          <w:tcPr>
            <w:tcW w:type="dxa" w:w="34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Granular visibility into access logs</w:t>
            </w:r>
          </w:p>
        </w:tc>
        <w:tc>
          <w:tcPr>
            <w:tcW w:type="dxa" w:w="34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Risk of policy conflicts on rapid updates</w:t>
            </w:r>
          </w:p>
        </w:tc>
      </w:tr>
      <w:tr>
        <w:tc>
          <w:tcPr>
            <w:tcW w:type="dxa" w:w="34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Reduces blast radius of a breach</w:t>
            </w:r>
          </w:p>
        </w:tc>
        <w:tc>
          <w:tcPr>
            <w:tcW w:type="dxa" w:w="3400"/>
            <w:tcMar>
              <w:top w:type="dxa" w:w="60"/>
              <w:left w:type="dxa" w:w="80"/>
              <w:bottom w:type="dxa" w:w="60"/>
              <w:right w:type="dxa" w:w="80"/>
            </w:tcMar>
          </w:tcPr>
          <w:p>
            <w:pPr>
              <w:jc w:val="center"/>
            </w:pPr>
            <w:r>
              <w:rPr>
                <w:rFonts w:ascii="Times New Roman" w:cs="Times New Roman" w:eastAsia="Times New Roman" w:hAnsi="Times New Roman"/>
                <w:b w:val="false"/>
                <w:bCs w:val="false"/>
                <w:sz w:val="16"/>
                <w:szCs w:val="16"/>
              </w:rPr>
              <w:t xml:space="preserve">High upfront capital/engineering cost</w:t>
            </w:r>
          </w:p>
        </w:tc>
      </w:tr>
    </w:tbl>
    <w:p>
      <w:pPr>
        <w:spacing w:after="120" w:line="240"/>
        <w:jc w:val="both"/>
      </w:pPr>
      <w:r>
        <w:rPr>
          <w:rFonts w:ascii="Times New Roman" w:cs="Times New Roman" w:eastAsia="Times New Roman" w:hAnsi="Times New Roman"/>
          <w:i w:val="false"/>
          <w:iCs w:val="false"/>
          <w:sz w:val="20"/>
          <w:szCs w:val="20"/>
        </w:rPr>
        <w:t xml:space="preserve">Two further standards shape the current landscape. NIST SP 800-207 defines the foundational logical components and deployment models for enterprise ZTA, while IEEE 3219-2023 [6] targets IoT specifically through a blockchain-based decentralized access-control model. Despite this standardization effort, cross-cloud identity federation and real-time policy synchronization remain open problems: policy updates propagated across heterogeneous multi-cloud deployments frequently introduce transient, unintended access conflicts that current orchestration tooling does not fully resolve — reinforcing orchestration maturity as the weakest of the four criteria evaluated in this study, in both domains.</w:t>
      </w:r>
    </w:p>
    <w:p>
      <w:pPr>
        <w:spacing w:after="120" w:before="240"/>
        <w:jc w:val="center"/>
      </w:pPr>
      <w:r>
        <w:rPr>
          <w:rFonts w:ascii="Times New Roman" w:cs="Times New Roman" w:eastAsia="Times New Roman" w:hAnsi="Times New Roman"/>
          <w:b/>
          <w:bCs/>
          <w:sz w:val="20"/>
          <w:szCs w:val="20"/>
        </w:rPr>
        <w:t xml:space="preserve">VII. CONCLUSION AND FUTURE SCOPE</w:t>
      </w:r>
    </w:p>
    <w:p>
      <w:pPr>
        <w:spacing w:after="120" w:line="240"/>
        <w:jc w:val="both"/>
      </w:pPr>
      <w:r>
        <w:rPr>
          <w:rFonts w:ascii="Times New Roman" w:cs="Times New Roman" w:eastAsia="Times New Roman" w:hAnsi="Times New Roman"/>
          <w:i w:val="false"/>
          <w:iCs w:val="false"/>
          <w:sz w:val="20"/>
          <w:szCs w:val="20"/>
        </w:rPr>
        <w:t xml:space="preserve">This paper presented a structured comparative evaluation of Zero Trust Architecture across cloud and IoT domains using four criteria — authentication complexity, authorization scalability, monitoring overhead, and orchestration maturity. The analysis confirms that cloud ZTA is comparatively mature across all four criteria, while IoT ZTA lags primarily due to hardware-driven constraints rather than any conceptual gap in the zero-trust model. Quantified benchmarks show that lightweight cryptographic schemes can reduce authentication overhead by roughly an order of magnitude relative to standard RSA, making them a practical starting point for resource-constrained deployments.</w:t>
      </w:r>
    </w:p>
    <w:p>
      <w:pPr>
        <w:spacing w:after="120" w:line="240"/>
        <w:ind w:firstLine="200"/>
        <w:jc w:val="both"/>
      </w:pPr>
      <w:r>
        <w:rPr>
          <w:rFonts w:ascii="Times New Roman" w:cs="Times New Roman" w:eastAsia="Times New Roman" w:hAnsi="Times New Roman"/>
          <w:i w:val="false"/>
          <w:iCs w:val="false"/>
          <w:sz w:val="20"/>
          <w:szCs w:val="20"/>
        </w:rPr>
        <w:t xml:space="preserve">Future work should focus on three fronts: ultra-lightweight zero-knowledge proof schemes suitable for 8-bit microcontrollers; localized edge-proxy PDPs that preserve low latency during WAN disconnection; and AI-assisted policy-orchestration engines capable of automatically resolving access-policy conflicts across heterogeneous multi-cloud and edge environments.</w:t>
      </w:r>
    </w:p>
    <w:p>
      <w:pPr>
        <w:spacing w:after="120" w:before="240"/>
        <w:jc w:val="center"/>
      </w:pPr>
      <w:r>
        <w:rPr>
          <w:rFonts w:ascii="Times New Roman" w:cs="Times New Roman" w:eastAsia="Times New Roman" w:hAnsi="Times New Roman"/>
          <w:b/>
          <w:bCs/>
          <w:sz w:val="20"/>
          <w:szCs w:val="20"/>
        </w:rPr>
        <w:t xml:space="preserve">REFERENCES</w:t>
      </w:r>
    </w:p>
    <w:p>
      <w:pPr>
        <w:spacing w:after="60" w:line="240"/>
        <w:ind w:left="260" w:hanging="260"/>
      </w:pPr>
      <w:r>
        <w:rPr>
          <w:rFonts w:ascii="Times New Roman" w:cs="Times New Roman" w:eastAsia="Times New Roman" w:hAnsi="Times New Roman"/>
          <w:sz w:val="18"/>
          <w:szCs w:val="18"/>
        </w:rPr>
        <w:t xml:space="preserve">[1] M. Ahmadi, “Zero Trust Architecture in Cloud Networks: Application, Challenges and Future Opportunities,” Journal of Engineering Research and Reports, vol. 26, no. 4, pp. 45–58, 2024.</w:t>
      </w:r>
    </w:p>
    <w:p>
      <w:pPr>
        <w:spacing w:after="60" w:line="240"/>
        <w:ind w:left="260" w:hanging="260"/>
      </w:pPr>
      <w:r>
        <w:rPr>
          <w:rFonts w:ascii="Times New Roman" w:cs="Times New Roman" w:eastAsia="Times New Roman" w:hAnsi="Times New Roman"/>
          <w:sz w:val="18"/>
          <w:szCs w:val="18"/>
        </w:rPr>
        <w:t xml:space="preserve">[2] M. Mushtaq et al., “A Systematic Literature Review on the Implementation and Challenges of Zero Trust Architecture Across Domains,” Sensors, vol. 25, no. 3, p. 812, 2025.</w:t>
      </w:r>
    </w:p>
    <w:p>
      <w:pPr>
        <w:spacing w:after="60" w:line="240"/>
        <w:ind w:left="260" w:hanging="260"/>
      </w:pPr>
      <w:r>
        <w:rPr>
          <w:rFonts w:ascii="Times New Roman" w:cs="Times New Roman" w:eastAsia="Times New Roman" w:hAnsi="Times New Roman"/>
          <w:sz w:val="18"/>
          <w:szCs w:val="18"/>
        </w:rPr>
        <w:t xml:space="preserve">[3] P. Phiayura and N. Teerakanok, “A Comprehensive Framework for Migrating to Zero Trust Architecture,” IEEE Access, vol. 11, pp. 41200–41215, 2023.</w:t>
      </w:r>
    </w:p>
    <w:p>
      <w:pPr>
        <w:spacing w:after="60" w:line="240"/>
        <w:ind w:left="260" w:hanging="260"/>
      </w:pPr>
      <w:r>
        <w:rPr>
          <w:rFonts w:ascii="Times New Roman" w:cs="Times New Roman" w:eastAsia="Times New Roman" w:hAnsi="Times New Roman"/>
          <w:sz w:val="18"/>
          <w:szCs w:val="18"/>
        </w:rPr>
        <w:t xml:space="preserve">[4] R. Syed et al., “Zero Trust Architecture (ZTA): A Comprehensive Survey,” IEEE Access, vol. 10, pp. 59714–59739, 2022.</w:t>
      </w:r>
    </w:p>
    <w:p>
      <w:pPr>
        <w:spacing w:after="60" w:line="240"/>
        <w:ind w:left="260" w:hanging="260"/>
      </w:pPr>
      <w:r>
        <w:rPr>
          <w:rFonts w:ascii="Times New Roman" w:cs="Times New Roman" w:eastAsia="Times New Roman" w:hAnsi="Times New Roman"/>
          <w:sz w:val="18"/>
          <w:szCs w:val="18"/>
        </w:rPr>
        <w:t xml:space="preserve">[5] V. Emmanni, “Implementing a Zero Trust Architecture in Hybrid Cloud Environments,” International Journal of Computer Trends and Technology, vol. 72, no. 2, pp. 18–25, 2024.</w:t>
      </w:r>
    </w:p>
    <w:p>
      <w:pPr>
        <w:spacing w:after="60" w:line="240"/>
        <w:ind w:left="260" w:hanging="260"/>
      </w:pPr>
      <w:r>
        <w:rPr>
          <w:rFonts w:ascii="Times New Roman" w:cs="Times New Roman" w:eastAsia="Times New Roman" w:hAnsi="Times New Roman"/>
          <w:sz w:val="18"/>
          <w:szCs w:val="18"/>
        </w:rPr>
        <w:t xml:space="preserve">[6] IEEE Standard for Blockchain-Based Zero-Trust Framework for IoT, IEEE Std 3219-2023, 2023.</w:t>
      </w:r>
    </w:p>
    <w:p>
      <w:pPr>
        <w:spacing w:after="60" w:line="240"/>
        <w:ind w:left="260" w:hanging="260"/>
      </w:pPr>
      <w:r>
        <w:rPr>
          <w:rFonts w:ascii="Times New Roman" w:cs="Times New Roman" w:eastAsia="Times New Roman" w:hAnsi="Times New Roman"/>
          <w:sz w:val="18"/>
          <w:szCs w:val="18"/>
        </w:rPr>
        <w:t xml:space="preserve">[7] Y. Cao et al., “Automation and orchestration of zero trust architecture: Potential solutions and challenges,” Machine Intelligence Research, vol. 21, no. 1, pp. 112–128, 2024.</w:t>
      </w:r>
    </w:p>
    <w:p>
      <w:pPr>
        <w:spacing w:after="60" w:line="240"/>
        <w:ind w:left="260" w:hanging="260"/>
      </w:pPr>
      <w:r>
        <w:rPr>
          <w:rFonts w:ascii="Times New Roman" w:cs="Times New Roman" w:eastAsia="Times New Roman" w:hAnsi="Times New Roman"/>
          <w:sz w:val="18"/>
          <w:szCs w:val="18"/>
        </w:rPr>
        <w:t xml:space="preserve">[8] C. Hong et al., “SysFlow: Toward a Programmable Zero Trust Framework for System Security,” IEEE Trans. Information Forensics and Security, vol. 18, pp. 2415–2429, 2023.</w:t>
      </w:r>
    </w:p>
    <w:p>
      <w:pPr>
        <w:spacing w:after="60" w:line="240"/>
        <w:ind w:left="260" w:hanging="260"/>
      </w:pPr>
      <w:r>
        <w:rPr>
          <w:rFonts w:ascii="Times New Roman" w:cs="Times New Roman" w:eastAsia="Times New Roman" w:hAnsi="Times New Roman"/>
          <w:sz w:val="18"/>
          <w:szCs w:val="18"/>
        </w:rPr>
        <w:t xml:space="preserve">[9] R. Bobbert and M. Scheerder, “Zero Trust Validation: from Practice to Theory,” in Proc. IEEE 29th Annual Software Technology Conf. (STC), 2022, pp. 1–10.</w:t>
      </w:r>
    </w:p>
    <w:p>
      <w:pPr>
        <w:spacing w:after="60" w:line="240"/>
        <w:ind w:left="260" w:hanging="260"/>
      </w:pPr>
      <w:r>
        <w:rPr>
          <w:rFonts w:ascii="Times New Roman" w:cs="Times New Roman" w:eastAsia="Times New Roman" w:hAnsi="Times New Roman"/>
          <w:sz w:val="18"/>
          <w:szCs w:val="18"/>
        </w:rPr>
        <w:t xml:space="preserve">[10] S. Ghasemshirazi et al., “Zero Trust: Applications, Challenges, and Opportunities,” arXiv preprint arXiv:2308.01234, 2023.</w:t>
      </w:r>
    </w:p>
    <w:sectPr>
      <w:pgSz w:w="11906" w:h="16838" w:orient="portrait"/>
      <w:pgMar w:top="1440" w:right="1080" w:bottom="1440" w:left="1080" w:header="708" w:footer="708" w:gutter="0"/>
      <w:pgNumType/>
      <w:cols w:space="288" w:num="2"/>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2026-07-24T17:38:05.680Z</dcterms:created>
  <dcterms:modified xsi:type="dcterms:W3CDTF">2026-07-24T17:38:05.680Z</dcterms:modified>
</cp:coreProperties>
</file>

<file path=docProps/custom.xml><?xml version="1.0" encoding="utf-8"?>
<Properties xmlns="http://schemas.openxmlformats.org/officeDocument/2006/custom-properties" xmlns:vt="http://schemas.openxmlformats.org/officeDocument/2006/docPropsVTypes"/>
</file>