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A1F" w:rsidRPr="003E7A1F" w:rsidRDefault="003E7A1F" w:rsidP="003E7A1F">
      <w:pPr>
        <w:spacing w:before="100" w:beforeAutospacing="1" w:after="100" w:afterAutospacing="1"/>
        <w:ind w:firstLine="0"/>
        <w:jc w:val="center"/>
        <w:outlineLvl w:val="0"/>
        <w:rPr>
          <w:rFonts w:ascii="Times New Roman" w:eastAsia="Times New Roman" w:hAnsi="Times New Roman" w:cs="Times New Roman"/>
          <w:b/>
          <w:bCs/>
          <w:kern w:val="36"/>
          <w:sz w:val="48"/>
          <w:szCs w:val="48"/>
          <w:lang w:bidi="ar-SA"/>
        </w:rPr>
      </w:pPr>
      <w:r w:rsidRPr="003E7A1F">
        <w:rPr>
          <w:rFonts w:ascii="Times New Roman" w:eastAsia="Times New Roman" w:hAnsi="Times New Roman" w:cs="Times New Roman"/>
          <w:b/>
          <w:bCs/>
          <w:kern w:val="36"/>
          <w:sz w:val="48"/>
          <w:szCs w:val="48"/>
          <w:lang w:bidi="ar-SA"/>
        </w:rPr>
        <w:t>Mechanisms of Oral Drug Delivery: How Solid Dosage Forms Navigate Human Anatomy</w:t>
      </w:r>
    </w:p>
    <w:p w:rsidR="003E7A1F" w:rsidRPr="003E7A1F" w:rsidRDefault="003E7A1F" w:rsidP="003E7A1F">
      <w:pPr>
        <w:spacing w:before="100" w:beforeAutospacing="1" w:after="100" w:afterAutospacing="1"/>
        <w:ind w:firstLine="0"/>
        <w:outlineLvl w:val="1"/>
        <w:rPr>
          <w:rFonts w:ascii="Times New Roman" w:eastAsia="Times New Roman" w:hAnsi="Times New Roman" w:cs="Times New Roman"/>
          <w:b/>
          <w:bCs/>
          <w:sz w:val="36"/>
          <w:szCs w:val="36"/>
          <w:lang w:bidi="ar-SA"/>
        </w:rPr>
      </w:pPr>
      <w:r w:rsidRPr="003E7A1F">
        <w:rPr>
          <w:rFonts w:ascii="Times New Roman" w:eastAsia="Times New Roman" w:hAnsi="Times New Roman" w:cs="Times New Roman"/>
          <w:b/>
          <w:bCs/>
          <w:sz w:val="36"/>
          <w:szCs w:val="36"/>
          <w:lang w:bidi="ar-SA"/>
        </w:rPr>
        <w:t>1. Introduction</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When symptoms such as fever, pain, or inflammation arise, the physiological balance of the human body is disrupted. One of the most common medical interventions for such conditions is the administration of an oral solid dosage form, most commonly a tablet. Within approximately thirty to forty-five minutes of ingestion, these symptoms often begin to subside, restoring normal body function.</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This seemingly simple therapeutic process raises an important pharmacological question:</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i/>
          <w:iCs/>
          <w:sz w:val="24"/>
          <w:szCs w:val="24"/>
          <w:lang w:bidi="ar-SA"/>
        </w:rPr>
        <w:t>If a tablet is introduced only into the gastrointestinal tract, how does it eventually influence a specific site of pain, inflammation, or fever without disturbing the entire body system equally?</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The answer lies in the integrated principles of pharmacokinetics (what the body does to the drug) and pharmacodynamics (what the drug does to the body). Modern pharmaceutical Research and Development (R&amp;D) is fundamentally based on understanding and manipulating these mechanisms. A tablet is not merely compressed chemistry; it is a sophisticated drug-delivery system engineered to survive biological barriers, dissolve at a controlled rate, and selectively interact with molecular targets.</w:t>
      </w:r>
    </w:p>
    <w:p w:rsidR="003E7A1F" w:rsidRPr="003E7A1F" w:rsidRDefault="003E7A1F" w:rsidP="003E7A1F">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pict>
          <v:rect id="_x0000_i1025" style="width:0;height:1.5pt" o:hralign="center" o:hrstd="t" o:hr="t" fillcolor="#a0a0a0" stroked="f"/>
        </w:pict>
      </w:r>
    </w:p>
    <w:p w:rsidR="003E7A1F" w:rsidRPr="003E7A1F" w:rsidRDefault="003E7A1F" w:rsidP="003E7A1F">
      <w:pPr>
        <w:spacing w:before="100" w:beforeAutospacing="1" w:after="100" w:afterAutospacing="1"/>
        <w:ind w:firstLine="0"/>
        <w:outlineLvl w:val="1"/>
        <w:rPr>
          <w:rFonts w:ascii="Times New Roman" w:eastAsia="Times New Roman" w:hAnsi="Times New Roman" w:cs="Times New Roman"/>
          <w:b/>
          <w:bCs/>
          <w:sz w:val="36"/>
          <w:szCs w:val="36"/>
          <w:lang w:bidi="ar-SA"/>
        </w:rPr>
      </w:pPr>
      <w:r w:rsidRPr="003E7A1F">
        <w:rPr>
          <w:rFonts w:ascii="Times New Roman" w:eastAsia="Times New Roman" w:hAnsi="Times New Roman" w:cs="Times New Roman"/>
          <w:b/>
          <w:bCs/>
          <w:sz w:val="36"/>
          <w:szCs w:val="36"/>
          <w:lang w:bidi="ar-SA"/>
        </w:rPr>
        <w:t>2. Gastrointestinal Transit and Dissolution</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The first physiological barrier encountered by an orally administered tablet is the gastrointestinal (GI) tract. After deglutition (swallowing), the tablet enters the stomach, where it faces a highly acidic environment maintained at a pH of approximately 1.5 to 3.5 due to hydrochloric acid secretion.</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This acidic environment presents a major challenge for pharmaceutical scientists. If the active pharmaceutical ingredient (API) is unstable under acidic conditions, premature degradation may occur before absorption.</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This raises a critical scientific inquiry:</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i/>
          <w:iCs/>
          <w:sz w:val="24"/>
          <w:szCs w:val="24"/>
          <w:lang w:bidi="ar-SA"/>
        </w:rPr>
        <w:t>How can a solid dosage form preserve its molecular integrity in such an aggressive chemical environment?</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lastRenderedPageBreak/>
        <w:t xml:space="preserve">To address this, formulation scientists employ </w:t>
      </w:r>
      <w:r w:rsidRPr="003E7A1F">
        <w:rPr>
          <w:rFonts w:ascii="Times New Roman" w:eastAsia="Times New Roman" w:hAnsi="Times New Roman" w:cs="Times New Roman"/>
          <w:b/>
          <w:bCs/>
          <w:sz w:val="24"/>
          <w:szCs w:val="24"/>
          <w:lang w:bidi="ar-SA"/>
        </w:rPr>
        <w:t>enteric coatings</w:t>
      </w:r>
      <w:r w:rsidRPr="003E7A1F">
        <w:rPr>
          <w:rFonts w:ascii="Times New Roman" w:eastAsia="Times New Roman" w:hAnsi="Times New Roman" w:cs="Times New Roman"/>
          <w:sz w:val="24"/>
          <w:szCs w:val="24"/>
          <w:lang w:bidi="ar-SA"/>
        </w:rPr>
        <w:t>—specialized polymer barriers designed to remain intact in acidic gastric fluid but rapidly dissolve in the more neutral or slightly alkaline pH (6.0–7.4) of the small intestine.</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For immediate-release tablets lacking such coatings, the stomach becomes the primary site of disintegration. Through mechanical churning and fluid penetration, the tablet breaks into granules and then dissolves into molecular form.</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This is a fundamental principle of biopharmaceutics:</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b/>
          <w:bCs/>
          <w:sz w:val="24"/>
          <w:szCs w:val="24"/>
          <w:lang w:bidi="ar-SA"/>
        </w:rPr>
        <w:t>The human body cannot absorb solid drug particles; absorption requires complete dissolution into solution.</w:t>
      </w:r>
    </w:p>
    <w:p w:rsidR="003E7A1F" w:rsidRPr="003E7A1F" w:rsidRDefault="003E7A1F" w:rsidP="003E7A1F">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pict>
          <v:rect id="_x0000_i1026" style="width:0;height:1.5pt" o:hralign="center" o:hrstd="t" o:hr="t" fillcolor="#a0a0a0" stroked="f"/>
        </w:pict>
      </w:r>
    </w:p>
    <w:p w:rsidR="003E7A1F" w:rsidRPr="003E7A1F" w:rsidRDefault="003E7A1F" w:rsidP="003E7A1F">
      <w:pPr>
        <w:spacing w:before="100" w:beforeAutospacing="1" w:after="100" w:afterAutospacing="1"/>
        <w:ind w:firstLine="0"/>
        <w:outlineLvl w:val="1"/>
        <w:rPr>
          <w:rFonts w:ascii="Times New Roman" w:eastAsia="Times New Roman" w:hAnsi="Times New Roman" w:cs="Times New Roman"/>
          <w:b/>
          <w:bCs/>
          <w:sz w:val="36"/>
          <w:szCs w:val="36"/>
          <w:lang w:bidi="ar-SA"/>
        </w:rPr>
      </w:pPr>
      <w:r w:rsidRPr="003E7A1F">
        <w:rPr>
          <w:rFonts w:ascii="Times New Roman" w:eastAsia="Times New Roman" w:hAnsi="Times New Roman" w:cs="Times New Roman"/>
          <w:b/>
          <w:bCs/>
          <w:sz w:val="36"/>
          <w:szCs w:val="36"/>
          <w:lang w:bidi="ar-SA"/>
        </w:rPr>
        <w:t>3. Systemic Absorption and Pharmacokinetics</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Once dissolved, the drug reaches the small intestine, the principal site of absorption. The intestinal lining contains villi and microvilli, dramatically increasing surface area and maximizing absorption efficiency.</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Drug molecules cross the epithelial membrane mainly by passive diffusion, moving down their concentration gradient.</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After absorption, the molecules enter the mesenteric capillaries and are transported directly to the liver through the hepatic portal vein.</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 xml:space="preserve">This introduces the phenomenon of </w:t>
      </w:r>
      <w:r w:rsidRPr="003E7A1F">
        <w:rPr>
          <w:rFonts w:ascii="Times New Roman" w:eastAsia="Times New Roman" w:hAnsi="Times New Roman" w:cs="Times New Roman"/>
          <w:b/>
          <w:bCs/>
          <w:sz w:val="24"/>
          <w:szCs w:val="24"/>
          <w:lang w:bidi="ar-SA"/>
        </w:rPr>
        <w:t>First-Pass Metabolism</w:t>
      </w:r>
      <w:r w:rsidRPr="003E7A1F">
        <w:rPr>
          <w:rFonts w:ascii="Times New Roman" w:eastAsia="Times New Roman" w:hAnsi="Times New Roman" w:cs="Times New Roman"/>
          <w:sz w:val="24"/>
          <w:szCs w:val="24"/>
          <w:lang w:bidi="ar-SA"/>
        </w:rPr>
        <w:t>, where hepatic enzymes such as the Cytochrome P450 family metabolize part of the drug before it reaches systemic circulation.</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 xml:space="preserve">This directly affects </w:t>
      </w:r>
      <w:r w:rsidRPr="003E7A1F">
        <w:rPr>
          <w:rFonts w:ascii="Times New Roman" w:eastAsia="Times New Roman" w:hAnsi="Times New Roman" w:cs="Times New Roman"/>
          <w:b/>
          <w:bCs/>
          <w:sz w:val="24"/>
          <w:szCs w:val="24"/>
          <w:lang w:bidi="ar-SA"/>
        </w:rPr>
        <w:t>bioavailability (F)</w:t>
      </w:r>
      <w:r w:rsidRPr="003E7A1F">
        <w:rPr>
          <w:rFonts w:ascii="Times New Roman" w:eastAsia="Times New Roman" w:hAnsi="Times New Roman" w:cs="Times New Roman"/>
          <w:sz w:val="24"/>
          <w:szCs w:val="24"/>
          <w:lang w:bidi="ar-SA"/>
        </w:rPr>
        <w:t>, defined as:</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F = (AUC oral / AUC IV) × 100</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Where:</w:t>
      </w:r>
    </w:p>
    <w:p w:rsidR="003E7A1F" w:rsidRPr="003E7A1F" w:rsidRDefault="003E7A1F" w:rsidP="003E7A1F">
      <w:pPr>
        <w:numPr>
          <w:ilvl w:val="0"/>
          <w:numId w:val="1"/>
        </w:numPr>
        <w:spacing w:before="100" w:beforeAutospacing="1" w:after="100" w:afterAutospacing="1"/>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AUC = Area Under the Curve (drug concentration over time)</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To ensure therapeutic effectiveness, pharmaceutical scientists mathematically calculate dosage using:</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Dose = (Target Plasma Concentration × Volume of Distribution) / F</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This equation compensates for losses during metabolism.</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lastRenderedPageBreak/>
        <w:t>After surviving hepatic metabolism, the remaining drug molecules enter systemic circulation via the inferior vena cava and are distributed throughout the body by the heart.</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The drug itself has no internal navigation system; distribution is global.</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proofErr w:type="gramStart"/>
      <w:r w:rsidRPr="003E7A1F">
        <w:rPr>
          <w:rFonts w:ascii="Times New Roman" w:eastAsia="Times New Roman" w:hAnsi="Times New Roman" w:cs="Times New Roman"/>
          <w:sz w:val="24"/>
          <w:szCs w:val="24"/>
          <w:lang w:bidi="ar-SA"/>
        </w:rPr>
        <w:t>Its</w:t>
      </w:r>
      <w:proofErr w:type="gramEnd"/>
      <w:r w:rsidRPr="003E7A1F">
        <w:rPr>
          <w:rFonts w:ascii="Times New Roman" w:eastAsia="Times New Roman" w:hAnsi="Times New Roman" w:cs="Times New Roman"/>
          <w:sz w:val="24"/>
          <w:szCs w:val="24"/>
          <w:lang w:bidi="ar-SA"/>
        </w:rPr>
        <w:t xml:space="preserve"> apparent “targeting” depends on:</w:t>
      </w:r>
    </w:p>
    <w:p w:rsidR="003E7A1F" w:rsidRPr="003E7A1F" w:rsidRDefault="003E7A1F" w:rsidP="003E7A1F">
      <w:pPr>
        <w:numPr>
          <w:ilvl w:val="0"/>
          <w:numId w:val="2"/>
        </w:numPr>
        <w:spacing w:before="100" w:beforeAutospacing="1" w:after="100" w:afterAutospacing="1"/>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Receptor affinity</w:t>
      </w:r>
    </w:p>
    <w:p w:rsidR="003E7A1F" w:rsidRPr="003E7A1F" w:rsidRDefault="003E7A1F" w:rsidP="003E7A1F">
      <w:pPr>
        <w:numPr>
          <w:ilvl w:val="0"/>
          <w:numId w:val="2"/>
        </w:numPr>
        <w:spacing w:before="100" w:beforeAutospacing="1" w:after="100" w:afterAutospacing="1"/>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Tissue permeability</w:t>
      </w:r>
    </w:p>
    <w:p w:rsidR="003E7A1F" w:rsidRPr="003E7A1F" w:rsidRDefault="003E7A1F" w:rsidP="003E7A1F">
      <w:pPr>
        <w:numPr>
          <w:ilvl w:val="0"/>
          <w:numId w:val="2"/>
        </w:numPr>
        <w:spacing w:before="100" w:beforeAutospacing="1" w:after="100" w:afterAutospacing="1"/>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Local biochemical conditions</w:t>
      </w:r>
    </w:p>
    <w:p w:rsidR="003E7A1F" w:rsidRPr="003E7A1F" w:rsidRDefault="003E7A1F" w:rsidP="003E7A1F">
      <w:pPr>
        <w:numPr>
          <w:ilvl w:val="0"/>
          <w:numId w:val="2"/>
        </w:numPr>
        <w:spacing w:before="100" w:beforeAutospacing="1" w:after="100" w:afterAutospacing="1"/>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Blood flow to tissues</w:t>
      </w:r>
    </w:p>
    <w:p w:rsidR="003E7A1F" w:rsidRPr="003E7A1F" w:rsidRDefault="003E7A1F" w:rsidP="003E7A1F">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pict>
          <v:rect id="_x0000_i1027" style="width:0;height:1.5pt" o:hralign="center" o:hrstd="t" o:hr="t" fillcolor="#a0a0a0" stroked="f"/>
        </w:pict>
      </w:r>
    </w:p>
    <w:p w:rsidR="003E7A1F" w:rsidRPr="003E7A1F" w:rsidRDefault="003E7A1F" w:rsidP="003E7A1F">
      <w:pPr>
        <w:spacing w:before="100" w:beforeAutospacing="1" w:after="100" w:afterAutospacing="1"/>
        <w:ind w:firstLine="0"/>
        <w:outlineLvl w:val="1"/>
        <w:rPr>
          <w:rFonts w:ascii="Times New Roman" w:eastAsia="Times New Roman" w:hAnsi="Times New Roman" w:cs="Times New Roman"/>
          <w:b/>
          <w:bCs/>
          <w:sz w:val="36"/>
          <w:szCs w:val="36"/>
          <w:lang w:bidi="ar-SA"/>
        </w:rPr>
      </w:pPr>
      <w:r w:rsidRPr="003E7A1F">
        <w:rPr>
          <w:rFonts w:ascii="Times New Roman" w:eastAsia="Times New Roman" w:hAnsi="Times New Roman" w:cs="Times New Roman"/>
          <w:b/>
          <w:bCs/>
          <w:sz w:val="36"/>
          <w:szCs w:val="36"/>
          <w:lang w:bidi="ar-SA"/>
        </w:rPr>
        <w:t>4. ADME: The Complete Journey of a Drug</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 xml:space="preserve">To fully understand oral drug behavior, it is essential to study the four major pharmacokinetic phases collectively known as </w:t>
      </w:r>
      <w:r w:rsidRPr="003E7A1F">
        <w:rPr>
          <w:rFonts w:ascii="Times New Roman" w:eastAsia="Times New Roman" w:hAnsi="Times New Roman" w:cs="Times New Roman"/>
          <w:b/>
          <w:bCs/>
          <w:sz w:val="24"/>
          <w:szCs w:val="24"/>
          <w:lang w:bidi="ar-SA"/>
        </w:rPr>
        <w:t>ADME</w:t>
      </w:r>
      <w:r w:rsidRPr="003E7A1F">
        <w:rPr>
          <w:rFonts w:ascii="Times New Roman" w:eastAsia="Times New Roman" w:hAnsi="Times New Roman" w:cs="Times New Roman"/>
          <w:sz w:val="24"/>
          <w:szCs w:val="24"/>
          <w:lang w:bidi="ar-SA"/>
        </w:rPr>
        <w:t>:</w:t>
      </w:r>
    </w:p>
    <w:p w:rsidR="003E7A1F" w:rsidRPr="003E7A1F" w:rsidRDefault="003E7A1F" w:rsidP="003E7A1F">
      <w:pPr>
        <w:spacing w:before="100" w:beforeAutospacing="1" w:after="100" w:afterAutospacing="1"/>
        <w:ind w:firstLine="0"/>
        <w:outlineLvl w:val="2"/>
        <w:rPr>
          <w:rFonts w:ascii="Times New Roman" w:eastAsia="Times New Roman" w:hAnsi="Times New Roman" w:cs="Times New Roman"/>
          <w:b/>
          <w:bCs/>
          <w:sz w:val="27"/>
          <w:szCs w:val="27"/>
          <w:lang w:bidi="ar-SA"/>
        </w:rPr>
      </w:pPr>
      <w:proofErr w:type="gramStart"/>
      <w:r w:rsidRPr="003E7A1F">
        <w:rPr>
          <w:rFonts w:ascii="Times New Roman" w:eastAsia="Times New Roman" w:hAnsi="Times New Roman" w:cs="Times New Roman"/>
          <w:b/>
          <w:bCs/>
          <w:sz w:val="27"/>
          <w:szCs w:val="27"/>
          <w:lang w:bidi="ar-SA"/>
        </w:rPr>
        <w:t>A — Absorption</w:t>
      </w:r>
      <w:proofErr w:type="gramEnd"/>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proofErr w:type="gramStart"/>
      <w:r w:rsidRPr="003E7A1F">
        <w:rPr>
          <w:rFonts w:ascii="Times New Roman" w:eastAsia="Times New Roman" w:hAnsi="Times New Roman" w:cs="Times New Roman"/>
          <w:sz w:val="24"/>
          <w:szCs w:val="24"/>
          <w:lang w:bidi="ar-SA"/>
        </w:rPr>
        <w:t>Movement of the drug from the GI tract into the bloodstream.</w:t>
      </w:r>
      <w:proofErr w:type="gramEnd"/>
    </w:p>
    <w:p w:rsidR="003E7A1F" w:rsidRPr="003E7A1F" w:rsidRDefault="003E7A1F" w:rsidP="003E7A1F">
      <w:pPr>
        <w:spacing w:before="100" w:beforeAutospacing="1" w:after="100" w:afterAutospacing="1"/>
        <w:ind w:firstLine="0"/>
        <w:outlineLvl w:val="2"/>
        <w:rPr>
          <w:rFonts w:ascii="Times New Roman" w:eastAsia="Times New Roman" w:hAnsi="Times New Roman" w:cs="Times New Roman"/>
          <w:b/>
          <w:bCs/>
          <w:sz w:val="27"/>
          <w:szCs w:val="27"/>
          <w:lang w:bidi="ar-SA"/>
        </w:rPr>
      </w:pPr>
      <w:r w:rsidRPr="003E7A1F">
        <w:rPr>
          <w:rFonts w:ascii="Times New Roman" w:eastAsia="Times New Roman" w:hAnsi="Times New Roman" w:cs="Times New Roman"/>
          <w:b/>
          <w:bCs/>
          <w:sz w:val="27"/>
          <w:szCs w:val="27"/>
          <w:lang w:bidi="ar-SA"/>
        </w:rPr>
        <w:t>D — Distribution</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proofErr w:type="gramStart"/>
      <w:r w:rsidRPr="003E7A1F">
        <w:rPr>
          <w:rFonts w:ascii="Times New Roman" w:eastAsia="Times New Roman" w:hAnsi="Times New Roman" w:cs="Times New Roman"/>
          <w:sz w:val="24"/>
          <w:szCs w:val="24"/>
          <w:lang w:bidi="ar-SA"/>
        </w:rPr>
        <w:t>Transport of drug molecules from blood into tissues and organs.</w:t>
      </w:r>
      <w:proofErr w:type="gramEnd"/>
    </w:p>
    <w:p w:rsidR="003E7A1F" w:rsidRPr="003E7A1F" w:rsidRDefault="003E7A1F" w:rsidP="003E7A1F">
      <w:pPr>
        <w:spacing w:before="100" w:beforeAutospacing="1" w:after="100" w:afterAutospacing="1"/>
        <w:ind w:firstLine="0"/>
        <w:outlineLvl w:val="2"/>
        <w:rPr>
          <w:rFonts w:ascii="Times New Roman" w:eastAsia="Times New Roman" w:hAnsi="Times New Roman" w:cs="Times New Roman"/>
          <w:b/>
          <w:bCs/>
          <w:sz w:val="27"/>
          <w:szCs w:val="27"/>
          <w:lang w:bidi="ar-SA"/>
        </w:rPr>
      </w:pPr>
      <w:r w:rsidRPr="003E7A1F">
        <w:rPr>
          <w:rFonts w:ascii="Times New Roman" w:eastAsia="Times New Roman" w:hAnsi="Times New Roman" w:cs="Times New Roman"/>
          <w:b/>
          <w:bCs/>
          <w:sz w:val="27"/>
          <w:szCs w:val="27"/>
          <w:lang w:bidi="ar-SA"/>
        </w:rPr>
        <w:t>M — Metabolism</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proofErr w:type="gramStart"/>
      <w:r w:rsidRPr="003E7A1F">
        <w:rPr>
          <w:rFonts w:ascii="Times New Roman" w:eastAsia="Times New Roman" w:hAnsi="Times New Roman" w:cs="Times New Roman"/>
          <w:sz w:val="24"/>
          <w:szCs w:val="24"/>
          <w:lang w:bidi="ar-SA"/>
        </w:rPr>
        <w:t>Chemical modification of the drug, mainly in the liver, often reducing activity.</w:t>
      </w:r>
      <w:proofErr w:type="gramEnd"/>
    </w:p>
    <w:p w:rsidR="003E7A1F" w:rsidRPr="003E7A1F" w:rsidRDefault="003E7A1F" w:rsidP="003E7A1F">
      <w:pPr>
        <w:spacing w:before="100" w:beforeAutospacing="1" w:after="100" w:afterAutospacing="1"/>
        <w:ind w:firstLine="0"/>
        <w:outlineLvl w:val="2"/>
        <w:rPr>
          <w:rFonts w:ascii="Times New Roman" w:eastAsia="Times New Roman" w:hAnsi="Times New Roman" w:cs="Times New Roman"/>
          <w:b/>
          <w:bCs/>
          <w:sz w:val="27"/>
          <w:szCs w:val="27"/>
          <w:lang w:bidi="ar-SA"/>
        </w:rPr>
      </w:pPr>
      <w:r w:rsidRPr="003E7A1F">
        <w:rPr>
          <w:rFonts w:ascii="Times New Roman" w:eastAsia="Times New Roman" w:hAnsi="Times New Roman" w:cs="Times New Roman"/>
          <w:b/>
          <w:bCs/>
          <w:sz w:val="27"/>
          <w:szCs w:val="27"/>
          <w:lang w:bidi="ar-SA"/>
        </w:rPr>
        <w:t>E — Excretion</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proofErr w:type="gramStart"/>
      <w:r w:rsidRPr="003E7A1F">
        <w:rPr>
          <w:rFonts w:ascii="Times New Roman" w:eastAsia="Times New Roman" w:hAnsi="Times New Roman" w:cs="Times New Roman"/>
          <w:sz w:val="24"/>
          <w:szCs w:val="24"/>
          <w:lang w:bidi="ar-SA"/>
        </w:rPr>
        <w:t>Removal of the drug or its metabolites, primarily through the kidneys or bile.</w:t>
      </w:r>
      <w:proofErr w:type="gramEnd"/>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These four phases determine the onset, intensity, and duration of drug action.</w:t>
      </w:r>
    </w:p>
    <w:p w:rsidR="003E7A1F" w:rsidRPr="003E7A1F" w:rsidRDefault="003E7A1F" w:rsidP="003E7A1F">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pict>
          <v:rect id="_x0000_i1028" style="width:0;height:1.5pt" o:hralign="center" o:hrstd="t" o:hr="t" fillcolor="#a0a0a0" stroked="f"/>
        </w:pict>
      </w:r>
    </w:p>
    <w:p w:rsidR="009820AF" w:rsidRPr="003E7A1F" w:rsidRDefault="003E7A1F" w:rsidP="003E7A1F">
      <w:pPr>
        <w:spacing w:before="100" w:beforeAutospacing="1" w:after="100" w:afterAutospacing="1"/>
        <w:ind w:firstLine="0"/>
        <w:outlineLvl w:val="1"/>
        <w:rPr>
          <w:rFonts w:ascii="Times New Roman" w:eastAsia="Times New Roman" w:hAnsi="Times New Roman" w:cs="Times New Roman"/>
          <w:b/>
          <w:bCs/>
          <w:sz w:val="36"/>
          <w:szCs w:val="36"/>
          <w:lang w:bidi="ar-SA"/>
        </w:rPr>
      </w:pPr>
      <w:r w:rsidRPr="003E7A1F">
        <w:rPr>
          <w:rFonts w:ascii="Times New Roman" w:eastAsia="Times New Roman" w:hAnsi="Times New Roman" w:cs="Times New Roman"/>
          <w:b/>
          <w:bCs/>
          <w:sz w:val="36"/>
          <w:szCs w:val="36"/>
          <w:lang w:bidi="ar-SA"/>
        </w:rPr>
        <w:t>5. Targeted Mechanism of Action (Pharmacodynamics)</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Because drug molecules circulate throughout the body, selectivity depends on molecular recognition.</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lastRenderedPageBreak/>
        <w:t>When tissues experience injury, infection, or inflammation, they activate enzymes such as cyclooxygenase (COX), leading to the production of prostaglandins.</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These molecules trigger pain, fever, and inflammatory responses.</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Flow mechanism:</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[Cellular Injury] → [COX Activation] → [Prostaglandin Synthesis] → [Pain/Fever Signals</w:t>
      </w:r>
      <w:proofErr w:type="gramStart"/>
      <w:r w:rsidRPr="003E7A1F">
        <w:rPr>
          <w:rFonts w:ascii="Times New Roman" w:eastAsia="Times New Roman" w:hAnsi="Times New Roman" w:cs="Times New Roman"/>
          <w:sz w:val="24"/>
          <w:szCs w:val="24"/>
          <w:lang w:bidi="ar-SA"/>
        </w:rPr>
        <w:t>]</w:t>
      </w:r>
      <w:proofErr w:type="gramEnd"/>
      <w:r w:rsidRPr="003E7A1F">
        <w:rPr>
          <w:rFonts w:ascii="Times New Roman" w:eastAsia="Times New Roman" w:hAnsi="Times New Roman" w:cs="Times New Roman"/>
          <w:sz w:val="24"/>
          <w:szCs w:val="24"/>
          <w:lang w:bidi="ar-SA"/>
        </w:rPr>
        <w:br/>
        <w:t>↓</w:t>
      </w:r>
      <w:r w:rsidRPr="003E7A1F">
        <w:rPr>
          <w:rFonts w:ascii="Times New Roman" w:eastAsia="Times New Roman" w:hAnsi="Times New Roman" w:cs="Times New Roman"/>
          <w:sz w:val="24"/>
          <w:szCs w:val="24"/>
          <w:lang w:bidi="ar-SA"/>
        </w:rPr>
        <w:br/>
        <w:t>[Drug Molecule Inhibits Here]</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Drugs such as Paracetamol and Ibuprofen act by inhibiting COX enzymes, reducing prostaglandin production.</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This explains why relief occurs specifically at inflamed or stressed tissues.</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Healthy tissues may receive the drug, but without activated inflammatory pathways, little or no pharmacological effect occurs.</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This selective action is governed by receptor theory:</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b/>
          <w:bCs/>
          <w:sz w:val="24"/>
          <w:szCs w:val="24"/>
          <w:lang w:bidi="ar-SA"/>
        </w:rPr>
        <w:t>Drug = Key</w:t>
      </w:r>
      <w:r w:rsidRPr="003E7A1F">
        <w:rPr>
          <w:rFonts w:ascii="Times New Roman" w:eastAsia="Times New Roman" w:hAnsi="Times New Roman" w:cs="Times New Roman"/>
          <w:sz w:val="24"/>
          <w:szCs w:val="24"/>
          <w:lang w:bidi="ar-SA"/>
        </w:rPr>
        <w:br/>
      </w:r>
      <w:r w:rsidRPr="003E7A1F">
        <w:rPr>
          <w:rFonts w:ascii="Times New Roman" w:eastAsia="Times New Roman" w:hAnsi="Times New Roman" w:cs="Times New Roman"/>
          <w:b/>
          <w:bCs/>
          <w:sz w:val="24"/>
          <w:szCs w:val="24"/>
          <w:lang w:bidi="ar-SA"/>
        </w:rPr>
        <w:t>Receptor = Lock</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Only when the correct molecular fit occurs does a biological response follow.</w:t>
      </w:r>
    </w:p>
    <w:p w:rsidR="003E7A1F" w:rsidRPr="003E7A1F" w:rsidRDefault="003E7A1F" w:rsidP="003E7A1F">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pict>
          <v:rect id="_x0000_i1029" style="width:0;height:1.5pt" o:hralign="center" o:hrstd="t" o:hr="t" fillcolor="#a0a0a0" stroked="f"/>
        </w:pict>
      </w:r>
    </w:p>
    <w:p w:rsidR="003E7A1F" w:rsidRPr="003E7A1F" w:rsidRDefault="003E7A1F" w:rsidP="003E7A1F">
      <w:pPr>
        <w:spacing w:before="100" w:beforeAutospacing="1" w:after="100" w:afterAutospacing="1"/>
        <w:ind w:firstLine="0"/>
        <w:outlineLvl w:val="1"/>
        <w:rPr>
          <w:rFonts w:ascii="Times New Roman" w:eastAsia="Times New Roman" w:hAnsi="Times New Roman" w:cs="Times New Roman"/>
          <w:b/>
          <w:bCs/>
          <w:sz w:val="36"/>
          <w:szCs w:val="36"/>
          <w:lang w:bidi="ar-SA"/>
        </w:rPr>
      </w:pPr>
      <w:r w:rsidRPr="003E7A1F">
        <w:rPr>
          <w:rFonts w:ascii="Times New Roman" w:eastAsia="Times New Roman" w:hAnsi="Times New Roman" w:cs="Times New Roman"/>
          <w:b/>
          <w:bCs/>
          <w:sz w:val="36"/>
          <w:szCs w:val="36"/>
          <w:lang w:bidi="ar-SA"/>
        </w:rPr>
        <w:t>6. The Blood-Brain Barrier: A Specialized Challenge</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 xml:space="preserve">An additional complexity in drug delivery is the </w:t>
      </w:r>
      <w:r w:rsidRPr="003E7A1F">
        <w:rPr>
          <w:rFonts w:ascii="Times New Roman" w:eastAsia="Times New Roman" w:hAnsi="Times New Roman" w:cs="Times New Roman"/>
          <w:b/>
          <w:bCs/>
          <w:sz w:val="24"/>
          <w:szCs w:val="24"/>
          <w:lang w:bidi="ar-SA"/>
        </w:rPr>
        <w:t>Blood-Brain Barrier (BBB)</w:t>
      </w:r>
      <w:r w:rsidRPr="003E7A1F">
        <w:rPr>
          <w:rFonts w:ascii="Times New Roman" w:eastAsia="Times New Roman" w:hAnsi="Times New Roman" w:cs="Times New Roman"/>
          <w:sz w:val="24"/>
          <w:szCs w:val="24"/>
          <w:lang w:bidi="ar-SA"/>
        </w:rPr>
        <w:t>.</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The BBB is a highly selective membrane that protects the central nervous system from harmful substances.</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However, it also blocks many therapeutic drugs.</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Only molecules with suitable:</w:t>
      </w:r>
    </w:p>
    <w:p w:rsidR="003E7A1F" w:rsidRPr="003E7A1F" w:rsidRDefault="003E7A1F" w:rsidP="003E7A1F">
      <w:pPr>
        <w:numPr>
          <w:ilvl w:val="0"/>
          <w:numId w:val="3"/>
        </w:numPr>
        <w:spacing w:before="100" w:beforeAutospacing="1" w:after="100" w:afterAutospacing="1"/>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Lipid solubility</w:t>
      </w:r>
    </w:p>
    <w:p w:rsidR="003E7A1F" w:rsidRPr="003E7A1F" w:rsidRDefault="003E7A1F" w:rsidP="003E7A1F">
      <w:pPr>
        <w:numPr>
          <w:ilvl w:val="0"/>
          <w:numId w:val="3"/>
        </w:numPr>
        <w:spacing w:before="100" w:beforeAutospacing="1" w:after="100" w:afterAutospacing="1"/>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Small molecular size</w:t>
      </w:r>
    </w:p>
    <w:p w:rsidR="003E7A1F" w:rsidRPr="003E7A1F" w:rsidRDefault="003E7A1F" w:rsidP="003E7A1F">
      <w:pPr>
        <w:numPr>
          <w:ilvl w:val="0"/>
          <w:numId w:val="3"/>
        </w:numPr>
        <w:spacing w:before="100" w:beforeAutospacing="1" w:after="100" w:afterAutospacing="1"/>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Low polarity</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proofErr w:type="gramStart"/>
      <w:r w:rsidRPr="003E7A1F">
        <w:rPr>
          <w:rFonts w:ascii="Times New Roman" w:eastAsia="Times New Roman" w:hAnsi="Times New Roman" w:cs="Times New Roman"/>
          <w:sz w:val="24"/>
          <w:szCs w:val="24"/>
          <w:lang w:bidi="ar-SA"/>
        </w:rPr>
        <w:t>can</w:t>
      </w:r>
      <w:proofErr w:type="gramEnd"/>
      <w:r w:rsidRPr="003E7A1F">
        <w:rPr>
          <w:rFonts w:ascii="Times New Roman" w:eastAsia="Times New Roman" w:hAnsi="Times New Roman" w:cs="Times New Roman"/>
          <w:sz w:val="24"/>
          <w:szCs w:val="24"/>
          <w:lang w:bidi="ar-SA"/>
        </w:rPr>
        <w:t xml:space="preserve"> effectively cross it.</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lastRenderedPageBreak/>
        <w:t>This is why many drugs fail to treat neurological disorders effectively, making CNS drug delivery one of the most challenging fields in pharmaceutical R&amp;D.</w:t>
      </w:r>
    </w:p>
    <w:p w:rsidR="003E7A1F" w:rsidRPr="003E7A1F" w:rsidRDefault="003E7A1F" w:rsidP="003E7A1F">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pict>
          <v:rect id="_x0000_i1030" style="width:0;height:1.5pt" o:hralign="center" o:hrstd="t" o:hr="t" fillcolor="#a0a0a0" stroked="f"/>
        </w:pict>
      </w:r>
    </w:p>
    <w:p w:rsidR="003E7A1F" w:rsidRPr="003E7A1F" w:rsidRDefault="003E7A1F" w:rsidP="003E7A1F">
      <w:pPr>
        <w:spacing w:before="100" w:beforeAutospacing="1" w:after="100" w:afterAutospacing="1"/>
        <w:ind w:firstLine="0"/>
        <w:outlineLvl w:val="1"/>
        <w:rPr>
          <w:rFonts w:ascii="Times New Roman" w:eastAsia="Times New Roman" w:hAnsi="Times New Roman" w:cs="Times New Roman"/>
          <w:b/>
          <w:bCs/>
          <w:sz w:val="36"/>
          <w:szCs w:val="36"/>
          <w:lang w:bidi="ar-SA"/>
        </w:rPr>
      </w:pPr>
      <w:r w:rsidRPr="003E7A1F">
        <w:rPr>
          <w:rFonts w:ascii="Times New Roman" w:eastAsia="Times New Roman" w:hAnsi="Times New Roman" w:cs="Times New Roman"/>
          <w:b/>
          <w:bCs/>
          <w:sz w:val="36"/>
          <w:szCs w:val="36"/>
          <w:lang w:bidi="ar-SA"/>
        </w:rPr>
        <w:t>7. Comparative Kinetics: Oral Tablets vs Intravenous Administration</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A comparison between oral and intravenous administration highlights major pharmacokinetic differences:</w:t>
      </w:r>
    </w:p>
    <w:tbl>
      <w:tblPr>
        <w:tblStyle w:val="TableGrid"/>
        <w:tblW w:w="9576" w:type="dxa"/>
        <w:tblLook w:val="04A0"/>
      </w:tblPr>
      <w:tblGrid>
        <w:gridCol w:w="3192"/>
        <w:gridCol w:w="3192"/>
        <w:gridCol w:w="3192"/>
      </w:tblGrid>
      <w:tr w:rsidR="009820AF" w:rsidTr="009820AF">
        <w:tc>
          <w:tcPr>
            <w:tcW w:w="3192" w:type="dxa"/>
            <w:vAlign w:val="center"/>
          </w:tcPr>
          <w:p w:rsidR="009820AF" w:rsidRPr="003E7A1F" w:rsidRDefault="009820AF" w:rsidP="003F32D5">
            <w:pPr>
              <w:ind w:firstLine="0"/>
              <w:jc w:val="center"/>
              <w:rPr>
                <w:rFonts w:ascii="Times New Roman" w:eastAsia="Times New Roman" w:hAnsi="Times New Roman" w:cs="Times New Roman"/>
                <w:b/>
                <w:bCs/>
                <w:sz w:val="24"/>
                <w:szCs w:val="24"/>
                <w:lang w:bidi="ar-SA"/>
              </w:rPr>
            </w:pPr>
            <w:r w:rsidRPr="003E7A1F">
              <w:rPr>
                <w:rFonts w:ascii="Times New Roman" w:eastAsia="Times New Roman" w:hAnsi="Times New Roman" w:cs="Times New Roman"/>
                <w:b/>
                <w:bCs/>
                <w:sz w:val="24"/>
                <w:szCs w:val="24"/>
                <w:lang w:bidi="ar-SA"/>
              </w:rPr>
              <w:t>Parameter</w:t>
            </w:r>
          </w:p>
        </w:tc>
        <w:tc>
          <w:tcPr>
            <w:tcW w:w="3192" w:type="dxa"/>
            <w:vAlign w:val="center"/>
          </w:tcPr>
          <w:p w:rsidR="009820AF" w:rsidRPr="003E7A1F" w:rsidRDefault="009820AF" w:rsidP="003F32D5">
            <w:pPr>
              <w:ind w:firstLine="0"/>
              <w:jc w:val="center"/>
              <w:rPr>
                <w:rFonts w:ascii="Times New Roman" w:eastAsia="Times New Roman" w:hAnsi="Times New Roman" w:cs="Times New Roman"/>
                <w:b/>
                <w:bCs/>
                <w:sz w:val="24"/>
                <w:szCs w:val="24"/>
                <w:lang w:bidi="ar-SA"/>
              </w:rPr>
            </w:pPr>
            <w:r w:rsidRPr="003E7A1F">
              <w:rPr>
                <w:rFonts w:ascii="Times New Roman" w:eastAsia="Times New Roman" w:hAnsi="Times New Roman" w:cs="Times New Roman"/>
                <w:b/>
                <w:bCs/>
                <w:sz w:val="24"/>
                <w:szCs w:val="24"/>
                <w:lang w:bidi="ar-SA"/>
              </w:rPr>
              <w:t>Oral Tablet</w:t>
            </w:r>
          </w:p>
        </w:tc>
        <w:tc>
          <w:tcPr>
            <w:tcW w:w="3192" w:type="dxa"/>
            <w:vAlign w:val="center"/>
          </w:tcPr>
          <w:p w:rsidR="009820AF" w:rsidRPr="003E7A1F" w:rsidRDefault="009820AF" w:rsidP="003F32D5">
            <w:pPr>
              <w:ind w:firstLine="0"/>
              <w:jc w:val="center"/>
              <w:rPr>
                <w:rFonts w:ascii="Times New Roman" w:eastAsia="Times New Roman" w:hAnsi="Times New Roman" w:cs="Times New Roman"/>
                <w:b/>
                <w:bCs/>
                <w:sz w:val="24"/>
                <w:szCs w:val="24"/>
                <w:lang w:bidi="ar-SA"/>
              </w:rPr>
            </w:pPr>
            <w:r w:rsidRPr="003E7A1F">
              <w:rPr>
                <w:rFonts w:ascii="Times New Roman" w:eastAsia="Times New Roman" w:hAnsi="Times New Roman" w:cs="Times New Roman"/>
                <w:b/>
                <w:bCs/>
                <w:sz w:val="24"/>
                <w:szCs w:val="24"/>
                <w:lang w:bidi="ar-SA"/>
              </w:rPr>
              <w:t>Intravenous Injection</w:t>
            </w:r>
          </w:p>
        </w:tc>
      </w:tr>
      <w:tr w:rsidR="009820AF" w:rsidTr="009820AF">
        <w:tc>
          <w:tcPr>
            <w:tcW w:w="3192" w:type="dxa"/>
            <w:vAlign w:val="center"/>
          </w:tcPr>
          <w:p w:rsidR="009820AF" w:rsidRPr="003E7A1F" w:rsidRDefault="009820AF" w:rsidP="003F32D5">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Anatomical Pathway</w:t>
            </w:r>
          </w:p>
        </w:tc>
        <w:tc>
          <w:tcPr>
            <w:tcW w:w="3192" w:type="dxa"/>
            <w:vAlign w:val="center"/>
          </w:tcPr>
          <w:p w:rsidR="009820AF" w:rsidRPr="003E7A1F" w:rsidRDefault="009820AF" w:rsidP="003F32D5">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GI → Liver → Bloodstream</w:t>
            </w:r>
          </w:p>
        </w:tc>
        <w:tc>
          <w:tcPr>
            <w:tcW w:w="3192" w:type="dxa"/>
            <w:vAlign w:val="center"/>
          </w:tcPr>
          <w:p w:rsidR="009820AF" w:rsidRPr="003E7A1F" w:rsidRDefault="009820AF" w:rsidP="003F32D5">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Direct Bloodstream Entry</w:t>
            </w:r>
          </w:p>
        </w:tc>
      </w:tr>
      <w:tr w:rsidR="009820AF" w:rsidTr="009820AF">
        <w:tc>
          <w:tcPr>
            <w:tcW w:w="3192" w:type="dxa"/>
            <w:vAlign w:val="center"/>
          </w:tcPr>
          <w:p w:rsidR="009820AF" w:rsidRPr="003E7A1F" w:rsidRDefault="009820AF" w:rsidP="003F32D5">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First-Pass Metabolism</w:t>
            </w:r>
          </w:p>
        </w:tc>
        <w:tc>
          <w:tcPr>
            <w:tcW w:w="3192" w:type="dxa"/>
            <w:vAlign w:val="center"/>
          </w:tcPr>
          <w:p w:rsidR="009820AF" w:rsidRPr="003E7A1F" w:rsidRDefault="009820AF" w:rsidP="003F32D5">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Present</w:t>
            </w:r>
          </w:p>
        </w:tc>
        <w:tc>
          <w:tcPr>
            <w:tcW w:w="3192" w:type="dxa"/>
            <w:vAlign w:val="center"/>
          </w:tcPr>
          <w:p w:rsidR="009820AF" w:rsidRPr="003E7A1F" w:rsidRDefault="009820AF" w:rsidP="003F32D5">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Absent</w:t>
            </w:r>
          </w:p>
        </w:tc>
      </w:tr>
      <w:tr w:rsidR="009820AF" w:rsidTr="009820AF">
        <w:tc>
          <w:tcPr>
            <w:tcW w:w="3192" w:type="dxa"/>
            <w:vAlign w:val="center"/>
          </w:tcPr>
          <w:p w:rsidR="009820AF" w:rsidRPr="003E7A1F" w:rsidRDefault="009820AF" w:rsidP="003F32D5">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Bioavailability</w:t>
            </w:r>
          </w:p>
        </w:tc>
        <w:tc>
          <w:tcPr>
            <w:tcW w:w="3192" w:type="dxa"/>
            <w:vAlign w:val="center"/>
          </w:tcPr>
          <w:p w:rsidR="009820AF" w:rsidRPr="003E7A1F" w:rsidRDefault="009820AF" w:rsidP="003F32D5">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Less than 100%</w:t>
            </w:r>
          </w:p>
        </w:tc>
        <w:tc>
          <w:tcPr>
            <w:tcW w:w="3192" w:type="dxa"/>
            <w:vAlign w:val="center"/>
          </w:tcPr>
          <w:p w:rsidR="009820AF" w:rsidRPr="003E7A1F" w:rsidRDefault="009820AF" w:rsidP="003F32D5">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Exactly 100%</w:t>
            </w:r>
          </w:p>
        </w:tc>
      </w:tr>
      <w:tr w:rsidR="009820AF" w:rsidTr="009820AF">
        <w:tc>
          <w:tcPr>
            <w:tcW w:w="3192" w:type="dxa"/>
            <w:vAlign w:val="center"/>
          </w:tcPr>
          <w:p w:rsidR="009820AF" w:rsidRPr="003E7A1F" w:rsidRDefault="009820AF" w:rsidP="003F32D5">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Onset of Action</w:t>
            </w:r>
          </w:p>
        </w:tc>
        <w:tc>
          <w:tcPr>
            <w:tcW w:w="3192" w:type="dxa"/>
            <w:vAlign w:val="center"/>
          </w:tcPr>
          <w:p w:rsidR="009820AF" w:rsidRPr="003E7A1F" w:rsidRDefault="009820AF" w:rsidP="003F32D5">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30–45 minutes</w:t>
            </w:r>
          </w:p>
        </w:tc>
        <w:tc>
          <w:tcPr>
            <w:tcW w:w="3192" w:type="dxa"/>
            <w:vAlign w:val="center"/>
          </w:tcPr>
          <w:p w:rsidR="009820AF" w:rsidRPr="003E7A1F" w:rsidRDefault="009820AF" w:rsidP="003F32D5">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1–3 minutes</w:t>
            </w:r>
          </w:p>
        </w:tc>
      </w:tr>
      <w:tr w:rsidR="009820AF" w:rsidTr="009820AF">
        <w:tc>
          <w:tcPr>
            <w:tcW w:w="3192" w:type="dxa"/>
            <w:vAlign w:val="center"/>
          </w:tcPr>
          <w:p w:rsidR="009820AF" w:rsidRPr="003E7A1F" w:rsidRDefault="009820AF" w:rsidP="003F32D5">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Absorption Step</w:t>
            </w:r>
          </w:p>
        </w:tc>
        <w:tc>
          <w:tcPr>
            <w:tcW w:w="3192" w:type="dxa"/>
            <w:vAlign w:val="center"/>
          </w:tcPr>
          <w:p w:rsidR="009820AF" w:rsidRPr="003E7A1F" w:rsidRDefault="009820AF" w:rsidP="003F32D5">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Required</w:t>
            </w:r>
          </w:p>
        </w:tc>
        <w:tc>
          <w:tcPr>
            <w:tcW w:w="3192" w:type="dxa"/>
            <w:vAlign w:val="center"/>
          </w:tcPr>
          <w:p w:rsidR="009820AF" w:rsidRPr="003E7A1F" w:rsidRDefault="009820AF" w:rsidP="003F32D5">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Not Required</w:t>
            </w:r>
          </w:p>
        </w:tc>
      </w:tr>
    </w:tbl>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 xml:space="preserve">Intravenous administration bypasses </w:t>
      </w:r>
      <w:proofErr w:type="gramStart"/>
      <w:r w:rsidRPr="003E7A1F">
        <w:rPr>
          <w:rFonts w:ascii="Times New Roman" w:eastAsia="Times New Roman" w:hAnsi="Times New Roman" w:cs="Times New Roman"/>
          <w:sz w:val="24"/>
          <w:szCs w:val="24"/>
          <w:lang w:bidi="ar-SA"/>
        </w:rPr>
        <w:t>both dissolution</w:t>
      </w:r>
      <w:proofErr w:type="gramEnd"/>
      <w:r w:rsidRPr="003E7A1F">
        <w:rPr>
          <w:rFonts w:ascii="Times New Roman" w:eastAsia="Times New Roman" w:hAnsi="Times New Roman" w:cs="Times New Roman"/>
          <w:sz w:val="24"/>
          <w:szCs w:val="24"/>
          <w:lang w:bidi="ar-SA"/>
        </w:rPr>
        <w:t xml:space="preserve"> and absorption phases, producing immediate therapeutic plasma concentrations.</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This explains its rapid clinical effect.</w:t>
      </w:r>
    </w:p>
    <w:p w:rsidR="003E7A1F" w:rsidRPr="003E7A1F" w:rsidRDefault="003E7A1F" w:rsidP="003E7A1F">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pict>
          <v:rect id="_x0000_i1031" style="width:0;height:1.5pt" o:hralign="center" o:hrstd="t" o:hr="t" fillcolor="#a0a0a0" stroked="f"/>
        </w:pict>
      </w:r>
    </w:p>
    <w:p w:rsidR="003E7A1F" w:rsidRPr="003E7A1F" w:rsidRDefault="003E7A1F" w:rsidP="003E7A1F">
      <w:pPr>
        <w:spacing w:before="100" w:beforeAutospacing="1" w:after="100" w:afterAutospacing="1"/>
        <w:ind w:firstLine="0"/>
        <w:outlineLvl w:val="1"/>
        <w:rPr>
          <w:rFonts w:ascii="Times New Roman" w:eastAsia="Times New Roman" w:hAnsi="Times New Roman" w:cs="Times New Roman"/>
          <w:b/>
          <w:bCs/>
          <w:sz w:val="36"/>
          <w:szCs w:val="36"/>
          <w:lang w:bidi="ar-SA"/>
        </w:rPr>
      </w:pPr>
      <w:r w:rsidRPr="003E7A1F">
        <w:rPr>
          <w:rFonts w:ascii="Times New Roman" w:eastAsia="Times New Roman" w:hAnsi="Times New Roman" w:cs="Times New Roman"/>
          <w:b/>
          <w:bCs/>
          <w:sz w:val="36"/>
          <w:szCs w:val="36"/>
          <w:lang w:bidi="ar-SA"/>
        </w:rPr>
        <w:t>8. Future Horizons in Pharmaceutical R&amp;D</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 xml:space="preserve">The future of pharmacology is shifting from generalized systemic distribution toward </w:t>
      </w:r>
      <w:r w:rsidRPr="003E7A1F">
        <w:rPr>
          <w:rFonts w:ascii="Times New Roman" w:eastAsia="Times New Roman" w:hAnsi="Times New Roman" w:cs="Times New Roman"/>
          <w:b/>
          <w:bCs/>
          <w:sz w:val="24"/>
          <w:szCs w:val="24"/>
          <w:lang w:bidi="ar-SA"/>
        </w:rPr>
        <w:t>Targeted Drug Delivery Systems (TDDS)</w:t>
      </w:r>
      <w:r w:rsidRPr="003E7A1F">
        <w:rPr>
          <w:rFonts w:ascii="Times New Roman" w:eastAsia="Times New Roman" w:hAnsi="Times New Roman" w:cs="Times New Roman"/>
          <w:sz w:val="24"/>
          <w:szCs w:val="24"/>
          <w:lang w:bidi="ar-SA"/>
        </w:rPr>
        <w:t>.</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Emerging technologies include:</w:t>
      </w:r>
    </w:p>
    <w:p w:rsidR="003E7A1F" w:rsidRPr="003E7A1F" w:rsidRDefault="003E7A1F" w:rsidP="003E7A1F">
      <w:pPr>
        <w:numPr>
          <w:ilvl w:val="0"/>
          <w:numId w:val="4"/>
        </w:numPr>
        <w:spacing w:before="100" w:beforeAutospacing="1" w:after="100" w:afterAutospacing="1"/>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Liposome for encapsulating drugs and protecting them from degradation</w:t>
      </w:r>
    </w:p>
    <w:p w:rsidR="003E7A1F" w:rsidRPr="003E7A1F" w:rsidRDefault="003E7A1F" w:rsidP="003E7A1F">
      <w:pPr>
        <w:numPr>
          <w:ilvl w:val="0"/>
          <w:numId w:val="4"/>
        </w:numPr>
        <w:spacing w:before="100" w:beforeAutospacing="1" w:after="100" w:afterAutospacing="1"/>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Polymeric Nanoparticles for sustained and targeted delivery</w:t>
      </w:r>
    </w:p>
    <w:p w:rsidR="003E7A1F" w:rsidRPr="003E7A1F" w:rsidRDefault="003E7A1F" w:rsidP="003E7A1F">
      <w:pPr>
        <w:numPr>
          <w:ilvl w:val="0"/>
          <w:numId w:val="4"/>
        </w:numPr>
        <w:spacing w:before="100" w:beforeAutospacing="1" w:after="100" w:afterAutospacing="1"/>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Doxorubicin liposomal formulations for cancer therapy</w:t>
      </w:r>
    </w:p>
    <w:p w:rsidR="003E7A1F" w:rsidRPr="003E7A1F" w:rsidRDefault="003E7A1F" w:rsidP="003E7A1F">
      <w:pPr>
        <w:numPr>
          <w:ilvl w:val="0"/>
          <w:numId w:val="4"/>
        </w:numPr>
        <w:spacing w:before="100" w:beforeAutospacing="1" w:after="100" w:afterAutospacing="1"/>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Monoclonal Antibodies for highly specific receptor targeting</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These technologies can shield drugs from premature metabolism, improve bioavailability, and release the active compound only at diseased tissues.</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This significantly minimizes systemic side effects and improves therapeutic precision.</w:t>
      </w:r>
    </w:p>
    <w:p w:rsidR="003E7A1F" w:rsidRPr="003E7A1F" w:rsidRDefault="003E7A1F" w:rsidP="003E7A1F">
      <w:pPr>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pict>
          <v:rect id="_x0000_i1032" style="width:0;height:1.5pt" o:hralign="center" o:hrstd="t" o:hr="t" fillcolor="#a0a0a0" stroked="f"/>
        </w:pict>
      </w:r>
    </w:p>
    <w:p w:rsidR="003E7A1F" w:rsidRPr="003E7A1F" w:rsidRDefault="003E7A1F" w:rsidP="003E7A1F">
      <w:pPr>
        <w:spacing w:before="100" w:beforeAutospacing="1" w:after="100" w:afterAutospacing="1"/>
        <w:ind w:firstLine="0"/>
        <w:outlineLvl w:val="1"/>
        <w:rPr>
          <w:rFonts w:ascii="Times New Roman" w:eastAsia="Times New Roman" w:hAnsi="Times New Roman" w:cs="Times New Roman"/>
          <w:b/>
          <w:bCs/>
          <w:sz w:val="36"/>
          <w:szCs w:val="36"/>
          <w:lang w:bidi="ar-SA"/>
        </w:rPr>
      </w:pPr>
      <w:r w:rsidRPr="003E7A1F">
        <w:rPr>
          <w:rFonts w:ascii="Times New Roman" w:eastAsia="Times New Roman" w:hAnsi="Times New Roman" w:cs="Times New Roman"/>
          <w:b/>
          <w:bCs/>
          <w:sz w:val="36"/>
          <w:szCs w:val="36"/>
          <w:lang w:bidi="ar-SA"/>
        </w:rPr>
        <w:lastRenderedPageBreak/>
        <w:t>9. Conclusion</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The journey of an oral tablet from ingestion to receptor binding is an extraordinary biochemical process involving multiple coordinated physiological stages.</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What appears to be simple symptom relief is actually a highly regulated cascade involving:</w:t>
      </w:r>
    </w:p>
    <w:p w:rsidR="003E7A1F" w:rsidRPr="003E7A1F" w:rsidRDefault="003E7A1F" w:rsidP="003E7A1F">
      <w:pPr>
        <w:numPr>
          <w:ilvl w:val="0"/>
          <w:numId w:val="5"/>
        </w:numPr>
        <w:spacing w:before="100" w:beforeAutospacing="1" w:after="100" w:afterAutospacing="1"/>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Dissolution</w:t>
      </w:r>
    </w:p>
    <w:p w:rsidR="003E7A1F" w:rsidRPr="003E7A1F" w:rsidRDefault="003E7A1F" w:rsidP="003E7A1F">
      <w:pPr>
        <w:numPr>
          <w:ilvl w:val="0"/>
          <w:numId w:val="5"/>
        </w:numPr>
        <w:spacing w:before="100" w:beforeAutospacing="1" w:after="100" w:afterAutospacing="1"/>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Membrane diffusion</w:t>
      </w:r>
    </w:p>
    <w:p w:rsidR="003E7A1F" w:rsidRPr="003E7A1F" w:rsidRDefault="003E7A1F" w:rsidP="003E7A1F">
      <w:pPr>
        <w:numPr>
          <w:ilvl w:val="0"/>
          <w:numId w:val="5"/>
        </w:numPr>
        <w:spacing w:before="100" w:beforeAutospacing="1" w:after="100" w:afterAutospacing="1"/>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Systemic distribution</w:t>
      </w:r>
    </w:p>
    <w:p w:rsidR="003E7A1F" w:rsidRPr="003E7A1F" w:rsidRDefault="003E7A1F" w:rsidP="003E7A1F">
      <w:pPr>
        <w:numPr>
          <w:ilvl w:val="0"/>
          <w:numId w:val="5"/>
        </w:numPr>
        <w:spacing w:before="100" w:beforeAutospacing="1" w:after="100" w:afterAutospacing="1"/>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Hepatic metabolism</w:t>
      </w:r>
    </w:p>
    <w:p w:rsidR="003E7A1F" w:rsidRPr="003E7A1F" w:rsidRDefault="003E7A1F" w:rsidP="003E7A1F">
      <w:pPr>
        <w:numPr>
          <w:ilvl w:val="0"/>
          <w:numId w:val="5"/>
        </w:numPr>
        <w:spacing w:before="100" w:beforeAutospacing="1" w:after="100" w:afterAutospacing="1"/>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Receptor binding</w:t>
      </w:r>
    </w:p>
    <w:p w:rsidR="003E7A1F" w:rsidRPr="003E7A1F" w:rsidRDefault="003E7A1F" w:rsidP="003E7A1F">
      <w:pPr>
        <w:numPr>
          <w:ilvl w:val="0"/>
          <w:numId w:val="5"/>
        </w:numPr>
        <w:spacing w:before="100" w:beforeAutospacing="1" w:after="100" w:afterAutospacing="1"/>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Drug elimination</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Understanding these mechanisms is the foundation of pharmaceutical science and modern drug development.</w:t>
      </w:r>
    </w:p>
    <w:p w:rsidR="003E7A1F" w:rsidRPr="003E7A1F" w:rsidRDefault="003E7A1F" w:rsidP="003E7A1F">
      <w:pPr>
        <w:spacing w:before="100" w:beforeAutospacing="1" w:after="100" w:afterAutospacing="1"/>
        <w:ind w:firstLine="0"/>
        <w:rPr>
          <w:rFonts w:ascii="Times New Roman" w:eastAsia="Times New Roman" w:hAnsi="Times New Roman" w:cs="Times New Roman"/>
          <w:sz w:val="24"/>
          <w:szCs w:val="24"/>
          <w:lang w:bidi="ar-SA"/>
        </w:rPr>
      </w:pPr>
      <w:r w:rsidRPr="003E7A1F">
        <w:rPr>
          <w:rFonts w:ascii="Times New Roman" w:eastAsia="Times New Roman" w:hAnsi="Times New Roman" w:cs="Times New Roman"/>
          <w:sz w:val="24"/>
          <w:szCs w:val="24"/>
          <w:lang w:bidi="ar-SA"/>
        </w:rPr>
        <w:t>As medicine advances toward nanotechnology, biologics, and precision-targeted therapeutics, the future of drug delivery will become increasingly efficient, selective, and personalized—transforming healthcare at the molecular level.</w:t>
      </w:r>
    </w:p>
    <w:p w:rsidR="0037116E" w:rsidRDefault="0037116E"/>
    <w:sectPr w:rsidR="0037116E" w:rsidSect="0037116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F129E1"/>
    <w:multiLevelType w:val="multilevel"/>
    <w:tmpl w:val="F6F0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CB14ED"/>
    <w:multiLevelType w:val="multilevel"/>
    <w:tmpl w:val="114AA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0B7B2A"/>
    <w:multiLevelType w:val="multilevel"/>
    <w:tmpl w:val="9F6EB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5F6407"/>
    <w:multiLevelType w:val="multilevel"/>
    <w:tmpl w:val="5B60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862496"/>
    <w:multiLevelType w:val="multilevel"/>
    <w:tmpl w:val="933AB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useFELayout/>
  </w:compat>
  <w:rsids>
    <w:rsidRoot w:val="003E7A1F"/>
    <w:rsid w:val="00010BE2"/>
    <w:rsid w:val="00311491"/>
    <w:rsid w:val="0037116E"/>
    <w:rsid w:val="003E7A1F"/>
    <w:rsid w:val="00510DD3"/>
    <w:rsid w:val="009820AF"/>
    <w:rsid w:val="00AF6D3E"/>
    <w:rsid w:val="00C12E68"/>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ko-KR"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D3E"/>
  </w:style>
  <w:style w:type="paragraph" w:styleId="Heading1">
    <w:name w:val="heading 1"/>
    <w:basedOn w:val="Normal"/>
    <w:next w:val="Normal"/>
    <w:link w:val="Heading1Char"/>
    <w:uiPriority w:val="9"/>
    <w:qFormat/>
    <w:rsid w:val="00AF6D3E"/>
    <w:pPr>
      <w:pBdr>
        <w:bottom w:val="single" w:sz="12" w:space="1" w:color="0B5294" w:themeColor="accent1" w:themeShade="BF"/>
      </w:pBdr>
      <w:spacing w:before="600" w:after="80"/>
      <w:ind w:firstLine="0"/>
      <w:outlineLvl w:val="0"/>
    </w:pPr>
    <w:rPr>
      <w:rFonts w:asciiTheme="majorHAnsi" w:eastAsiaTheme="majorEastAsia" w:hAnsiTheme="majorHAnsi" w:cstheme="majorBidi"/>
      <w:b/>
      <w:bCs/>
      <w:color w:val="0B5294" w:themeColor="accent1" w:themeShade="BF"/>
      <w:sz w:val="24"/>
      <w:szCs w:val="24"/>
    </w:rPr>
  </w:style>
  <w:style w:type="paragraph" w:styleId="Heading2">
    <w:name w:val="heading 2"/>
    <w:basedOn w:val="Normal"/>
    <w:next w:val="Normal"/>
    <w:link w:val="Heading2Char"/>
    <w:uiPriority w:val="9"/>
    <w:unhideWhenUsed/>
    <w:qFormat/>
    <w:rsid w:val="00AF6D3E"/>
    <w:pPr>
      <w:pBdr>
        <w:bottom w:val="single" w:sz="8" w:space="1" w:color="0F6FC6" w:themeColor="accent1"/>
      </w:pBdr>
      <w:spacing w:before="200" w:after="80"/>
      <w:ind w:firstLine="0"/>
      <w:outlineLvl w:val="1"/>
    </w:pPr>
    <w:rPr>
      <w:rFonts w:asciiTheme="majorHAnsi" w:eastAsiaTheme="majorEastAsia" w:hAnsiTheme="majorHAnsi" w:cstheme="majorBidi"/>
      <w:color w:val="0B5294" w:themeColor="accent1" w:themeShade="BF"/>
      <w:sz w:val="24"/>
      <w:szCs w:val="24"/>
    </w:rPr>
  </w:style>
  <w:style w:type="paragraph" w:styleId="Heading3">
    <w:name w:val="heading 3"/>
    <w:basedOn w:val="Normal"/>
    <w:next w:val="Normal"/>
    <w:link w:val="Heading3Char"/>
    <w:uiPriority w:val="9"/>
    <w:unhideWhenUsed/>
    <w:qFormat/>
    <w:rsid w:val="00AF6D3E"/>
    <w:pPr>
      <w:pBdr>
        <w:bottom w:val="single" w:sz="4" w:space="1" w:color="59A9F2" w:themeColor="accent1" w:themeTint="99"/>
      </w:pBdr>
      <w:spacing w:before="200" w:after="80"/>
      <w:ind w:firstLine="0"/>
      <w:outlineLvl w:val="2"/>
    </w:pPr>
    <w:rPr>
      <w:rFonts w:asciiTheme="majorHAnsi" w:eastAsiaTheme="majorEastAsia" w:hAnsiTheme="majorHAnsi" w:cstheme="majorBidi"/>
      <w:color w:val="0F6FC6" w:themeColor="accent1"/>
      <w:sz w:val="24"/>
      <w:szCs w:val="24"/>
    </w:rPr>
  </w:style>
  <w:style w:type="paragraph" w:styleId="Heading4">
    <w:name w:val="heading 4"/>
    <w:basedOn w:val="Normal"/>
    <w:next w:val="Normal"/>
    <w:link w:val="Heading4Char"/>
    <w:uiPriority w:val="9"/>
    <w:unhideWhenUsed/>
    <w:qFormat/>
    <w:rsid w:val="00AF6D3E"/>
    <w:pPr>
      <w:pBdr>
        <w:bottom w:val="single" w:sz="4" w:space="2" w:color="90C5F6" w:themeColor="accent1" w:themeTint="66"/>
      </w:pBdr>
      <w:spacing w:before="200" w:after="80"/>
      <w:ind w:firstLine="0"/>
      <w:outlineLvl w:val="3"/>
    </w:pPr>
    <w:rPr>
      <w:rFonts w:asciiTheme="majorHAnsi" w:eastAsiaTheme="majorEastAsia" w:hAnsiTheme="majorHAnsi" w:cstheme="majorBidi"/>
      <w:i/>
      <w:iCs/>
      <w:color w:val="0F6FC6" w:themeColor="accent1"/>
      <w:sz w:val="24"/>
      <w:szCs w:val="24"/>
    </w:rPr>
  </w:style>
  <w:style w:type="paragraph" w:styleId="Heading5">
    <w:name w:val="heading 5"/>
    <w:basedOn w:val="Normal"/>
    <w:next w:val="Normal"/>
    <w:link w:val="Heading5Char"/>
    <w:uiPriority w:val="9"/>
    <w:semiHidden/>
    <w:unhideWhenUsed/>
    <w:qFormat/>
    <w:rsid w:val="00AF6D3E"/>
    <w:pPr>
      <w:spacing w:before="200" w:after="80"/>
      <w:ind w:firstLine="0"/>
      <w:outlineLvl w:val="4"/>
    </w:pPr>
    <w:rPr>
      <w:rFonts w:asciiTheme="majorHAnsi" w:eastAsiaTheme="majorEastAsia" w:hAnsiTheme="majorHAnsi" w:cstheme="majorBidi"/>
      <w:color w:val="0F6FC6" w:themeColor="accent1"/>
    </w:rPr>
  </w:style>
  <w:style w:type="paragraph" w:styleId="Heading6">
    <w:name w:val="heading 6"/>
    <w:basedOn w:val="Normal"/>
    <w:next w:val="Normal"/>
    <w:link w:val="Heading6Char"/>
    <w:uiPriority w:val="9"/>
    <w:semiHidden/>
    <w:unhideWhenUsed/>
    <w:qFormat/>
    <w:rsid w:val="00AF6D3E"/>
    <w:pPr>
      <w:spacing w:before="280" w:after="100"/>
      <w:ind w:firstLine="0"/>
      <w:outlineLvl w:val="5"/>
    </w:pPr>
    <w:rPr>
      <w:rFonts w:asciiTheme="majorHAnsi" w:eastAsiaTheme="majorEastAsia" w:hAnsiTheme="majorHAnsi" w:cstheme="majorBidi"/>
      <w:i/>
      <w:iCs/>
      <w:color w:val="0F6FC6" w:themeColor="accent1"/>
    </w:rPr>
  </w:style>
  <w:style w:type="paragraph" w:styleId="Heading7">
    <w:name w:val="heading 7"/>
    <w:basedOn w:val="Normal"/>
    <w:next w:val="Normal"/>
    <w:link w:val="Heading7Char"/>
    <w:uiPriority w:val="9"/>
    <w:semiHidden/>
    <w:unhideWhenUsed/>
    <w:qFormat/>
    <w:rsid w:val="00AF6D3E"/>
    <w:pPr>
      <w:spacing w:before="320" w:after="100"/>
      <w:ind w:firstLine="0"/>
      <w:outlineLvl w:val="6"/>
    </w:pPr>
    <w:rPr>
      <w:rFonts w:asciiTheme="majorHAnsi" w:eastAsiaTheme="majorEastAsia" w:hAnsiTheme="majorHAnsi" w:cstheme="majorBidi"/>
      <w:b/>
      <w:bCs/>
      <w:color w:val="0BD0D9" w:themeColor="accent3"/>
      <w:sz w:val="20"/>
      <w:szCs w:val="20"/>
    </w:rPr>
  </w:style>
  <w:style w:type="paragraph" w:styleId="Heading8">
    <w:name w:val="heading 8"/>
    <w:basedOn w:val="Normal"/>
    <w:next w:val="Normal"/>
    <w:link w:val="Heading8Char"/>
    <w:uiPriority w:val="9"/>
    <w:semiHidden/>
    <w:unhideWhenUsed/>
    <w:qFormat/>
    <w:rsid w:val="00AF6D3E"/>
    <w:pPr>
      <w:spacing w:before="320" w:after="100"/>
      <w:ind w:firstLine="0"/>
      <w:outlineLvl w:val="7"/>
    </w:pPr>
    <w:rPr>
      <w:rFonts w:asciiTheme="majorHAnsi" w:eastAsiaTheme="majorEastAsia" w:hAnsiTheme="majorHAnsi" w:cstheme="majorBidi"/>
      <w:b/>
      <w:bCs/>
      <w:i/>
      <w:iCs/>
      <w:color w:val="0BD0D9" w:themeColor="accent3"/>
      <w:sz w:val="20"/>
      <w:szCs w:val="20"/>
    </w:rPr>
  </w:style>
  <w:style w:type="paragraph" w:styleId="Heading9">
    <w:name w:val="heading 9"/>
    <w:basedOn w:val="Normal"/>
    <w:next w:val="Normal"/>
    <w:link w:val="Heading9Char"/>
    <w:uiPriority w:val="9"/>
    <w:semiHidden/>
    <w:unhideWhenUsed/>
    <w:qFormat/>
    <w:rsid w:val="00AF6D3E"/>
    <w:pPr>
      <w:spacing w:before="320" w:after="100"/>
      <w:ind w:firstLine="0"/>
      <w:outlineLvl w:val="8"/>
    </w:pPr>
    <w:rPr>
      <w:rFonts w:asciiTheme="majorHAnsi" w:eastAsiaTheme="majorEastAsia" w:hAnsiTheme="majorHAnsi" w:cstheme="majorBidi"/>
      <w:i/>
      <w:iCs/>
      <w:color w:val="0BD0D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D3E"/>
    <w:rPr>
      <w:rFonts w:asciiTheme="majorHAnsi" w:eastAsiaTheme="majorEastAsia" w:hAnsiTheme="majorHAnsi" w:cstheme="majorBidi"/>
      <w:b/>
      <w:bCs/>
      <w:color w:val="0B5294" w:themeColor="accent1" w:themeShade="BF"/>
      <w:sz w:val="24"/>
      <w:szCs w:val="24"/>
    </w:rPr>
  </w:style>
  <w:style w:type="character" w:customStyle="1" w:styleId="Heading2Char">
    <w:name w:val="Heading 2 Char"/>
    <w:basedOn w:val="DefaultParagraphFont"/>
    <w:link w:val="Heading2"/>
    <w:uiPriority w:val="9"/>
    <w:rsid w:val="00AF6D3E"/>
    <w:rPr>
      <w:rFonts w:asciiTheme="majorHAnsi" w:eastAsiaTheme="majorEastAsia" w:hAnsiTheme="majorHAnsi" w:cstheme="majorBidi"/>
      <w:color w:val="0B5294" w:themeColor="accent1" w:themeShade="BF"/>
      <w:sz w:val="24"/>
      <w:szCs w:val="24"/>
    </w:rPr>
  </w:style>
  <w:style w:type="character" w:customStyle="1" w:styleId="Heading3Char">
    <w:name w:val="Heading 3 Char"/>
    <w:basedOn w:val="DefaultParagraphFont"/>
    <w:link w:val="Heading3"/>
    <w:uiPriority w:val="9"/>
    <w:rsid w:val="00AF6D3E"/>
    <w:rPr>
      <w:rFonts w:asciiTheme="majorHAnsi" w:eastAsiaTheme="majorEastAsia" w:hAnsiTheme="majorHAnsi" w:cstheme="majorBidi"/>
      <w:color w:val="0F6FC6" w:themeColor="accent1"/>
      <w:sz w:val="24"/>
      <w:szCs w:val="24"/>
    </w:rPr>
  </w:style>
  <w:style w:type="character" w:customStyle="1" w:styleId="Heading4Char">
    <w:name w:val="Heading 4 Char"/>
    <w:basedOn w:val="DefaultParagraphFont"/>
    <w:link w:val="Heading4"/>
    <w:uiPriority w:val="9"/>
    <w:rsid w:val="00AF6D3E"/>
    <w:rPr>
      <w:rFonts w:asciiTheme="majorHAnsi" w:eastAsiaTheme="majorEastAsia" w:hAnsiTheme="majorHAnsi" w:cstheme="majorBidi"/>
      <w:i/>
      <w:iCs/>
      <w:color w:val="0F6FC6" w:themeColor="accent1"/>
      <w:sz w:val="24"/>
      <w:szCs w:val="24"/>
    </w:rPr>
  </w:style>
  <w:style w:type="character" w:customStyle="1" w:styleId="Heading5Char">
    <w:name w:val="Heading 5 Char"/>
    <w:basedOn w:val="DefaultParagraphFont"/>
    <w:link w:val="Heading5"/>
    <w:uiPriority w:val="9"/>
    <w:semiHidden/>
    <w:rsid w:val="00AF6D3E"/>
    <w:rPr>
      <w:rFonts w:asciiTheme="majorHAnsi" w:eastAsiaTheme="majorEastAsia" w:hAnsiTheme="majorHAnsi" w:cstheme="majorBidi"/>
      <w:color w:val="0F6FC6" w:themeColor="accent1"/>
    </w:rPr>
  </w:style>
  <w:style w:type="character" w:customStyle="1" w:styleId="Heading6Char">
    <w:name w:val="Heading 6 Char"/>
    <w:basedOn w:val="DefaultParagraphFont"/>
    <w:link w:val="Heading6"/>
    <w:uiPriority w:val="9"/>
    <w:semiHidden/>
    <w:rsid w:val="00AF6D3E"/>
    <w:rPr>
      <w:rFonts w:asciiTheme="majorHAnsi" w:eastAsiaTheme="majorEastAsia" w:hAnsiTheme="majorHAnsi" w:cstheme="majorBidi"/>
      <w:i/>
      <w:iCs/>
      <w:color w:val="0F6FC6" w:themeColor="accent1"/>
    </w:rPr>
  </w:style>
  <w:style w:type="character" w:customStyle="1" w:styleId="Heading7Char">
    <w:name w:val="Heading 7 Char"/>
    <w:basedOn w:val="DefaultParagraphFont"/>
    <w:link w:val="Heading7"/>
    <w:uiPriority w:val="9"/>
    <w:semiHidden/>
    <w:rsid w:val="00AF6D3E"/>
    <w:rPr>
      <w:rFonts w:asciiTheme="majorHAnsi" w:eastAsiaTheme="majorEastAsia" w:hAnsiTheme="majorHAnsi" w:cstheme="majorBidi"/>
      <w:b/>
      <w:bCs/>
      <w:color w:val="0BD0D9" w:themeColor="accent3"/>
      <w:sz w:val="20"/>
      <w:szCs w:val="20"/>
    </w:rPr>
  </w:style>
  <w:style w:type="character" w:customStyle="1" w:styleId="Heading8Char">
    <w:name w:val="Heading 8 Char"/>
    <w:basedOn w:val="DefaultParagraphFont"/>
    <w:link w:val="Heading8"/>
    <w:uiPriority w:val="9"/>
    <w:semiHidden/>
    <w:rsid w:val="00AF6D3E"/>
    <w:rPr>
      <w:rFonts w:asciiTheme="majorHAnsi" w:eastAsiaTheme="majorEastAsia" w:hAnsiTheme="majorHAnsi" w:cstheme="majorBidi"/>
      <w:b/>
      <w:bCs/>
      <w:i/>
      <w:iCs/>
      <w:color w:val="0BD0D9" w:themeColor="accent3"/>
      <w:sz w:val="20"/>
      <w:szCs w:val="20"/>
    </w:rPr>
  </w:style>
  <w:style w:type="character" w:customStyle="1" w:styleId="Heading9Char">
    <w:name w:val="Heading 9 Char"/>
    <w:basedOn w:val="DefaultParagraphFont"/>
    <w:link w:val="Heading9"/>
    <w:uiPriority w:val="9"/>
    <w:semiHidden/>
    <w:rsid w:val="00AF6D3E"/>
    <w:rPr>
      <w:rFonts w:asciiTheme="majorHAnsi" w:eastAsiaTheme="majorEastAsia" w:hAnsiTheme="majorHAnsi" w:cstheme="majorBidi"/>
      <w:i/>
      <w:iCs/>
      <w:color w:val="0BD0D9" w:themeColor="accent3"/>
      <w:sz w:val="20"/>
      <w:szCs w:val="20"/>
    </w:rPr>
  </w:style>
  <w:style w:type="paragraph" w:styleId="Caption">
    <w:name w:val="caption"/>
    <w:basedOn w:val="Normal"/>
    <w:next w:val="Normal"/>
    <w:uiPriority w:val="35"/>
    <w:semiHidden/>
    <w:unhideWhenUsed/>
    <w:qFormat/>
    <w:rsid w:val="00AF6D3E"/>
    <w:rPr>
      <w:b/>
      <w:bCs/>
      <w:sz w:val="18"/>
      <w:szCs w:val="18"/>
    </w:rPr>
  </w:style>
  <w:style w:type="paragraph" w:styleId="Title">
    <w:name w:val="Title"/>
    <w:basedOn w:val="Normal"/>
    <w:next w:val="Normal"/>
    <w:link w:val="TitleChar"/>
    <w:uiPriority w:val="10"/>
    <w:qFormat/>
    <w:rsid w:val="00AF6D3E"/>
    <w:pPr>
      <w:pBdr>
        <w:top w:val="single" w:sz="8" w:space="10" w:color="75B7F4" w:themeColor="accent1" w:themeTint="7F"/>
        <w:bottom w:val="single" w:sz="24" w:space="15" w:color="0BD0D9" w:themeColor="accent3"/>
      </w:pBdr>
      <w:ind w:firstLine="0"/>
      <w:jc w:val="center"/>
    </w:pPr>
    <w:rPr>
      <w:rFonts w:asciiTheme="majorHAnsi" w:eastAsiaTheme="majorEastAsia" w:hAnsiTheme="majorHAnsi" w:cstheme="majorBidi"/>
      <w:i/>
      <w:iCs/>
      <w:color w:val="073662" w:themeColor="accent1" w:themeShade="7F"/>
      <w:sz w:val="60"/>
      <w:szCs w:val="60"/>
    </w:rPr>
  </w:style>
  <w:style w:type="character" w:customStyle="1" w:styleId="TitleChar">
    <w:name w:val="Title Char"/>
    <w:basedOn w:val="DefaultParagraphFont"/>
    <w:link w:val="Title"/>
    <w:uiPriority w:val="10"/>
    <w:rsid w:val="00AF6D3E"/>
    <w:rPr>
      <w:rFonts w:asciiTheme="majorHAnsi" w:eastAsiaTheme="majorEastAsia" w:hAnsiTheme="majorHAnsi" w:cstheme="majorBidi"/>
      <w:i/>
      <w:iCs/>
      <w:color w:val="073662" w:themeColor="accent1" w:themeShade="7F"/>
      <w:sz w:val="60"/>
      <w:szCs w:val="60"/>
    </w:rPr>
  </w:style>
  <w:style w:type="paragraph" w:styleId="Subtitle">
    <w:name w:val="Subtitle"/>
    <w:basedOn w:val="Normal"/>
    <w:next w:val="Normal"/>
    <w:link w:val="SubtitleChar"/>
    <w:uiPriority w:val="11"/>
    <w:qFormat/>
    <w:rsid w:val="00AF6D3E"/>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AF6D3E"/>
    <w:rPr>
      <w:rFonts w:asciiTheme="minorHAnsi"/>
      <w:i/>
      <w:iCs/>
      <w:sz w:val="24"/>
      <w:szCs w:val="24"/>
    </w:rPr>
  </w:style>
  <w:style w:type="character" w:styleId="Strong">
    <w:name w:val="Strong"/>
    <w:basedOn w:val="DefaultParagraphFont"/>
    <w:uiPriority w:val="22"/>
    <w:qFormat/>
    <w:rsid w:val="00AF6D3E"/>
    <w:rPr>
      <w:b/>
      <w:bCs/>
      <w:spacing w:val="0"/>
    </w:rPr>
  </w:style>
  <w:style w:type="character" w:styleId="Emphasis">
    <w:name w:val="Emphasis"/>
    <w:uiPriority w:val="20"/>
    <w:qFormat/>
    <w:rsid w:val="00AF6D3E"/>
    <w:rPr>
      <w:b/>
      <w:bCs/>
      <w:i/>
      <w:iCs/>
      <w:color w:val="5A5A5A" w:themeColor="text1" w:themeTint="A5"/>
    </w:rPr>
  </w:style>
  <w:style w:type="paragraph" w:styleId="NoSpacing">
    <w:name w:val="No Spacing"/>
    <w:basedOn w:val="Normal"/>
    <w:link w:val="NoSpacingChar"/>
    <w:uiPriority w:val="1"/>
    <w:qFormat/>
    <w:rsid w:val="00AF6D3E"/>
    <w:pPr>
      <w:ind w:firstLine="0"/>
    </w:pPr>
  </w:style>
  <w:style w:type="character" w:customStyle="1" w:styleId="NoSpacingChar">
    <w:name w:val="No Spacing Char"/>
    <w:basedOn w:val="DefaultParagraphFont"/>
    <w:link w:val="NoSpacing"/>
    <w:uiPriority w:val="1"/>
    <w:rsid w:val="00AF6D3E"/>
  </w:style>
  <w:style w:type="paragraph" w:styleId="ListParagraph">
    <w:name w:val="List Paragraph"/>
    <w:basedOn w:val="Normal"/>
    <w:uiPriority w:val="34"/>
    <w:qFormat/>
    <w:rsid w:val="00AF6D3E"/>
    <w:pPr>
      <w:ind w:left="720"/>
      <w:contextualSpacing/>
    </w:pPr>
  </w:style>
  <w:style w:type="paragraph" w:styleId="Quote">
    <w:name w:val="Quote"/>
    <w:basedOn w:val="Normal"/>
    <w:next w:val="Normal"/>
    <w:link w:val="QuoteChar"/>
    <w:uiPriority w:val="29"/>
    <w:qFormat/>
    <w:rsid w:val="00AF6D3E"/>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AF6D3E"/>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AF6D3E"/>
    <w:pPr>
      <w:pBdr>
        <w:top w:val="single" w:sz="12" w:space="10" w:color="90C5F6" w:themeColor="accent1" w:themeTint="66"/>
        <w:left w:val="single" w:sz="36" w:space="4" w:color="0F6FC6" w:themeColor="accent1"/>
        <w:bottom w:val="single" w:sz="24" w:space="10" w:color="0BD0D9" w:themeColor="accent3"/>
        <w:right w:val="single" w:sz="36" w:space="4" w:color="0F6FC6" w:themeColor="accent1"/>
      </w:pBdr>
      <w:shd w:val="clear" w:color="auto" w:fill="0F6FC6"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AF6D3E"/>
    <w:rPr>
      <w:rFonts w:asciiTheme="majorHAnsi" w:eastAsiaTheme="majorEastAsia" w:hAnsiTheme="majorHAnsi" w:cstheme="majorBidi"/>
      <w:i/>
      <w:iCs/>
      <w:color w:val="FFFFFF" w:themeColor="background1"/>
      <w:sz w:val="24"/>
      <w:szCs w:val="24"/>
      <w:shd w:val="clear" w:color="auto" w:fill="0F6FC6" w:themeFill="accent1"/>
    </w:rPr>
  </w:style>
  <w:style w:type="character" w:styleId="SubtleEmphasis">
    <w:name w:val="Subtle Emphasis"/>
    <w:uiPriority w:val="19"/>
    <w:qFormat/>
    <w:rsid w:val="00AF6D3E"/>
    <w:rPr>
      <w:i/>
      <w:iCs/>
      <w:color w:val="5A5A5A" w:themeColor="text1" w:themeTint="A5"/>
    </w:rPr>
  </w:style>
  <w:style w:type="character" w:styleId="IntenseEmphasis">
    <w:name w:val="Intense Emphasis"/>
    <w:uiPriority w:val="21"/>
    <w:qFormat/>
    <w:rsid w:val="00AF6D3E"/>
    <w:rPr>
      <w:b/>
      <w:bCs/>
      <w:i/>
      <w:iCs/>
      <w:color w:val="0F6FC6" w:themeColor="accent1"/>
      <w:sz w:val="22"/>
      <w:szCs w:val="22"/>
    </w:rPr>
  </w:style>
  <w:style w:type="character" w:styleId="SubtleReference">
    <w:name w:val="Subtle Reference"/>
    <w:uiPriority w:val="31"/>
    <w:qFormat/>
    <w:rsid w:val="00AF6D3E"/>
    <w:rPr>
      <w:color w:val="auto"/>
      <w:u w:val="single" w:color="0BD0D9" w:themeColor="accent3"/>
    </w:rPr>
  </w:style>
  <w:style w:type="character" w:styleId="IntenseReference">
    <w:name w:val="Intense Reference"/>
    <w:basedOn w:val="DefaultParagraphFont"/>
    <w:uiPriority w:val="32"/>
    <w:qFormat/>
    <w:rsid w:val="00AF6D3E"/>
    <w:rPr>
      <w:b/>
      <w:bCs/>
      <w:color w:val="089BA2" w:themeColor="accent3" w:themeShade="BF"/>
      <w:u w:val="single" w:color="0BD0D9" w:themeColor="accent3"/>
    </w:rPr>
  </w:style>
  <w:style w:type="character" w:styleId="BookTitle">
    <w:name w:val="Book Title"/>
    <w:basedOn w:val="DefaultParagraphFont"/>
    <w:uiPriority w:val="33"/>
    <w:qFormat/>
    <w:rsid w:val="00AF6D3E"/>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AF6D3E"/>
    <w:pPr>
      <w:outlineLvl w:val="9"/>
    </w:pPr>
  </w:style>
  <w:style w:type="paragraph" w:styleId="NormalWeb">
    <w:name w:val="Normal (Web)"/>
    <w:basedOn w:val="Normal"/>
    <w:uiPriority w:val="99"/>
    <w:semiHidden/>
    <w:unhideWhenUsed/>
    <w:rsid w:val="003E7A1F"/>
    <w:pPr>
      <w:spacing w:before="100" w:beforeAutospacing="1" w:after="100" w:afterAutospacing="1"/>
      <w:ind w:firstLine="0"/>
    </w:pPr>
    <w:rPr>
      <w:rFonts w:ascii="Times New Roman" w:eastAsia="Times New Roman" w:hAnsi="Times New Roman" w:cs="Times New Roman"/>
      <w:sz w:val="24"/>
      <w:szCs w:val="24"/>
      <w:lang w:bidi="ar-SA"/>
    </w:rPr>
  </w:style>
  <w:style w:type="table" w:styleId="TableGrid">
    <w:name w:val="Table Grid"/>
    <w:basedOn w:val="TableNormal"/>
    <w:uiPriority w:val="59"/>
    <w:rsid w:val="009820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482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1222</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win</cp:lastModifiedBy>
  <cp:revision>1</cp:revision>
  <dcterms:created xsi:type="dcterms:W3CDTF">2026-06-26T10:33:00Z</dcterms:created>
  <dcterms:modified xsi:type="dcterms:W3CDTF">2026-06-26T11:01:00Z</dcterms:modified>
</cp:coreProperties>
</file>